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身と命を保つための戒期、および天・地・人の忌み</w:t>
      </w:r>
    </w:p>
    <w:p>
      <w:pPr>
        <w:pStyle w:val="BookContentsHeading"/>
        <w:pageBreakBefore/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目次</w:t>
      </w:r>
      <w:bookmarkStart w:id="1" w:name="b083efcbe7e386222e9da557352ad25"/>
      <w:bookmarkEnd w:id="1"/>
      <w:r>
        <w:fldChar w:fldCharType="begin"/>
      </w:r>
      <w:r>
        <w:instrText xml:space="preserve"> TOC \o "1-2" \h \z </w:instrText>
      </w:r>
      <w:r>
        <w:fldChar w:fldCharType="separate"/>
      </w:r>
    </w:p>
    <w:p>
      <w:pPr>
        <w:pStyle w:val="TOC2"/>
        <w:tabs>
          <w:tab w:pos="4836" w:val="right" w:leader="dot"/>
        </w:tabs>
        <w:ind w:right="560"/>
      </w:pPr>
      <w:hyperlink w:anchor="b4262dca1767f61332fa1176c0a2073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外部参考資料の補訳（独立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AI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内容審査・修正確認済み）</w:t>
        </w:r>
      </w:hyperlink>
      <w:r>
        <w:tab/>
      </w:r>
      <w:r>
        <w:fldChar w:fldCharType="begin"/>
      </w:r>
      <w:r>
        <w:instrText xml:space="preserve"> PAGEREF b4262dca1767f61332fa1176c0a2073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5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7d0690131ec10bd0ac71d32da3fe5d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1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b7d0690131ec10bd0ac71d32da3fe5d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8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7a30d630a03f81e8a52f5590dc33bd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2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b7a30d630a03f81e8a52f5590dc33bd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12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60db77d538aae02973af5ca878229c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3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b60db77d538aae02973af5ca878229c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15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528d0e8c7a8b6881d579581113ffe3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4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b528d0e8c7a8b6881d579581113ffe3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18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04b7ea05761afb3229770bcaf6cc20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5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b04b7ea05761afb3229770bcaf6cc20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21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1b11b68478856a594198592dadd6a6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6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b1b11b68478856a594198592dadd6a6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25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68b43b1ae0d5a905d9f6723d268eba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7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b68b43b1ae0d5a905d9f6723d268eba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27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b7036b9fadcee59340bb679b2302d6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8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bb7036b9fadcee59340bb679b2302d6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30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38efc77f8cc502b75df3b2726e93da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9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b38efc77f8cc502b75df3b2726e93da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33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76791fb9b05e2c6125c3f3f609076e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10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b76791fb9b05e2c6125c3f3f609076e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36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5553f834c578b047765dc4d75c0138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11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b5553f834c578b047765dc4d75c0138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39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35091713c0e8e9ade6b82887fe1cd4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陰暦</w:t>
        </w:r>
        <w:r>
          <w:rPr>
            <w:rFonts w:ascii="Noto Serif" w:hAnsi="Noto Serif" w:eastAsia="Noto Serif CJK JP" w:cs="Noto Serif"/>
            <w:color w:val="000000"/>
            <w:lang w:val="ja-JP" w:eastAsia="ja-JP" w:bidi="ja-JP"/>
          </w:rPr>
          <w:t>12</w:t>
        </w:r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月</w:t>
        </w:r>
      </w:hyperlink>
      <w:r>
        <w:tab/>
      </w:r>
      <w:r>
        <w:fldChar w:fldCharType="begin"/>
      </w:r>
      <w:r>
        <w:instrText xml:space="preserve"> PAGEREF b35091713c0e8e9ade6b82887fe1cd4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42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06cbb538402110c9cc992304c0877e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二分の月（春分・秋分）</w:t>
        </w:r>
      </w:hyperlink>
      <w:r>
        <w:tab/>
      </w:r>
      <w:r>
        <w:fldChar w:fldCharType="begin"/>
      </w:r>
      <w:r>
        <w:instrText xml:space="preserve"> PAGEREF b06cbb538402110c9cc992304c0877e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45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6e2189503b4f344897a13ddc8b8199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二至の月（夏至・冬至）</w:t>
        </w:r>
      </w:hyperlink>
      <w:r>
        <w:tab/>
      </w:r>
      <w:r>
        <w:fldChar w:fldCharType="begin"/>
      </w:r>
      <w:r>
        <w:instrText xml:space="preserve"> PAGEREF b6e2189503b4f344897a13ddc8b8199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47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bbb0ad41b90544a4d9621ad9d56936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冬至</w:t>
        </w:r>
      </w:hyperlink>
      <w:r>
        <w:tab/>
      </w:r>
      <w:r>
        <w:fldChar w:fldCharType="begin"/>
      </w:r>
      <w:r>
        <w:instrText xml:space="preserve"> PAGEREF bbbb0ad41b90544a4d9621ad9d56936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49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853f5375b19993abb71b0a49bb17cd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陰錯日</w:t>
        </w:r>
      </w:hyperlink>
      <w:r>
        <w:tab/>
      </w:r>
      <w:r>
        <w:fldChar w:fldCharType="begin"/>
      </w:r>
      <w:r>
        <w:instrText xml:space="preserve"> PAGEREF b853f5375b19993abb71b0a49bb17cd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52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4831575354f5a3352986ceef8cce05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陽錯日</w:t>
        </w:r>
      </w:hyperlink>
      <w:r>
        <w:tab/>
      </w:r>
      <w:r>
        <w:fldChar w:fldCharType="begin"/>
      </w:r>
      <w:r>
        <w:instrText xml:space="preserve"> PAGEREF b4831575354f5a3352986ceef8cce05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53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7b56b9698a42301886767924da828e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天の忌み：厳しく戒めるべきこと</w:t>
        </w:r>
      </w:hyperlink>
      <w:r>
        <w:tab/>
      </w:r>
      <w:r>
        <w:fldChar w:fldCharType="begin"/>
      </w:r>
      <w:r>
        <w:instrText xml:space="preserve"> PAGEREF b7b56b9698a42301886767924da828e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55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05728e0f360410b5087d292f4f53db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地の忌み：厳しく戒めるべきこと</w:t>
        </w:r>
      </w:hyperlink>
      <w:r>
        <w:tab/>
      </w:r>
      <w:r>
        <w:fldChar w:fldCharType="begin"/>
      </w:r>
      <w:r>
        <w:instrText xml:space="preserve"> PAGEREF b05728e0f360410b5087d292f4f53db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56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7e9f8595a0c3f62bd5da035d12eac3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人の忌み：厳しく戒めるべきこと</w:t>
        </w:r>
      </w:hyperlink>
      <w:r>
        <w:tab/>
      </w:r>
      <w:r>
        <w:fldChar w:fldCharType="begin"/>
      </w:r>
      <w:r>
        <w:instrText xml:space="preserve"> PAGEREF b7e9f8595a0c3f62bd5da035d12eac3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57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9e8b72fa755e06c126a486d9cb7a8d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人の忌み（続き）</w:t>
        </w:r>
      </w:hyperlink>
      <w:r>
        <w:tab/>
      </w:r>
      <w:r>
        <w:fldChar w:fldCharType="begin"/>
      </w:r>
      <w:r>
        <w:instrText xml:space="preserve"> PAGEREF b9e8b72fa755e06c126a486d9cb7a8d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59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2a21b33dd32d5a5f3e3772e2044658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底本の異文と留保</w:t>
        </w:r>
      </w:hyperlink>
      <w:r>
        <w:tab/>
      </w:r>
      <w:r>
        <w:fldChar w:fldCharType="begin"/>
      </w:r>
      <w:r>
        <w:instrText xml:space="preserve"> PAGEREF b2a21b33dd32d5a5f3e3772e2044658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63</w:t>
      </w:r>
      <w:r>
        <w:fldChar w:fldCharType="end"/>
      </w:r>
    </w:p>
    <w:p>
      <w:pPr>
        <w:pStyle w:val="TOC2"/>
        <w:tabs>
          <w:tab w:pos="4836" w:val="right" w:leader="dot"/>
        </w:tabs>
        <w:ind w:right="560"/>
      </w:pPr>
      <w:hyperlink w:anchor="bf2539ec7111b8a675467c30d0655e9" w:history="1">
        <w:r>
          <w:rPr>
            <w:rFonts w:ascii="Noto Serif CJK JP" w:hAnsi="Noto Serif CJK JP" w:eastAsia="Noto Serif CJK JP" w:cs="Noto Serif CJK JP"/>
            <w:color w:val="000000"/>
            <w:lang w:val="ja-JP" w:eastAsia="ja-JP" w:bidi="ja-JP"/>
          </w:rPr>
          <w:t>出典</w:t>
        </w:r>
      </w:hyperlink>
      <w:r>
        <w:tab/>
      </w:r>
      <w:r>
        <w:fldChar w:fldCharType="begin"/>
      </w:r>
      <w:r>
        <w:instrText xml:space="preserve"> PAGEREF bf2539ec7111b8a675467c30d0655e9 \h </w:instrText>
      </w:r>
      <w:r>
        <w:fldChar w:fldCharType="separate"/>
      </w:r>
      <w:r>
        <w:rPr>
          <w:rFonts w:ascii="Noto Serif" w:hAnsi="Noto Serif" w:eastAsia="Noto Serif CJK JP" w:cs="Noto Serif"/>
          <w:color w:val="000000"/>
          <w:sz w:val="20"/>
          <w:szCs w:val="20"/>
          <w:lang w:val="ja-JP" w:eastAsia="ja-JP" w:bidi="ja-JP"/>
          <w:rStyle w:val="GeneratedPageReference"/>
        </w:rPr>
        <w:t>65</w:t>
      </w:r>
      <w:r>
        <w:fldChar w:fldCharType="end"/>
      </w:r>
      <w:r>
        <w:fldChar w:fldCharType="end"/>
      </w:r>
    </w:p>
    <w:p>
      <w:pPr>
        <w:pStyle w:val="BookSourceTitle"/>
        <w:pageBreakBefore/>
      </w:pPr>
      <w:bookmarkStart w:id="3" w:name="b17fe7b22c3c7fb0634bfad63941695"/>
      <w:bookmarkStart w:id="2" w:name="b3b84d51677f184d12cb4f56bc60954"/>
      <w:bookmarkEnd w:id="2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身と命を保つための戒期、および天・地・人の忌み</w:t>
      </w:r>
      <w:bookmarkEnd w:id="3"/>
    </w:p>
    <w:p>
      <w:pPr>
        <w:pStyle w:val="Heading2"/>
        <w:pageBreakBefore/>
      </w:pPr>
      <w:bookmarkStart w:id="5" w:name="b4262dca1767f61332fa1176c0a2073"/>
      <w:bookmarkStart w:id="4" w:name="b1d00bd80b12604de684439beef617d"/>
      <w:bookmarkEnd w:id="4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外部参考資料の補訳（独立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AI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内容審査・修正確認済み）</w:t>
      </w:r>
      <w:bookmarkEnd w:id="5"/>
    </w:p>
    <w:p>
      <w:pPr>
        <w:pStyle w:val="BookFirst"/>
        <w:overflowPunct w:val="1"/>
      </w:pPr>
      <w:bookmarkStart w:id="6" w:name="b3a2ececdacaa654d6507639802aa93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これは『陰律無情』の原文第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1803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行で題名のみ示され、表が省略されていた資料について、別に確認した『寿康宝鑑』白話版の表を訳した補充資料である。原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TXT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に表が収録されていたという意味ではなく、原稿や既存訳を置き換えない。</w:t>
      </w:r>
      <w:bookmarkEnd w:id="6"/>
    </w:p>
    <w:p>
      <w:pPr>
        <w:overflowPunct w:val="1"/>
      </w:pPr>
      <w:bookmarkStart w:id="7" w:name="b3864c2ba46aaefd1ff961e5d90e095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底本は印光増訂『寿康宝鑑』の白話版（印光編訂、三宝弟子訳、戒邪淫網修訂）。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PDF 168–184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頁、印刷頁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165–181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を用いた。刊年・版次は未確定であり、原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TXT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と同じ刷りとまでは確認していない。</w:t>
      </w:r>
      <w:bookmarkEnd w:id="7"/>
    </w:p>
    <w:p>
      <w:pPr>
        <w:overflowPunct w:val="1"/>
      </w:pPr>
      <w:bookmarkStart w:id="8" w:name="b4e12af5e34496faf963c6de29167cc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以下の禁忌、寿命、病気、生殖、子孫についての断定や勧めは、すべて引用元の歴史的宗教書の記述である。訳者の医療上の判断・健康指導・効果の保証ではない。強い断定も原書の語調として訳している。</w:t>
      </w:r>
      <w:bookmarkEnd w:id="8"/>
    </w:p>
    <w:p>
      <w:pPr>
        <w:pStyle w:val="Heading3"/>
        <w:pageBreakBefore w:val="0"/>
      </w:pPr>
      <w:bookmarkStart w:id="10" w:name="bcfc9fd2ebd193cbfd1a2204a25a6d9"/>
      <w:bookmarkStart w:id="9" w:name="b8f79d75a60852af71c201755a14d9b"/>
      <w:bookmarkEnd w:id="9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読み方</w:t>
      </w:r>
      <w:bookmarkEnd w:id="10"/>
    </w:p>
    <w:p>
      <w:pPr>
        <w:pStyle w:val="BookList"/>
        <w:numPr>
          <w:ilvl w:val="0"/>
          <w:numId w:val="1001"/>
        </w:numPr>
      </w:pPr>
      <w:bookmarkStart w:id="11" w:name="bb0d0b9e913c5de7af165a59b5863f4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距離の「里」は伝統的な単位であり、現代の距離には換算しない。</w:t>
      </w:r>
    </w:p>
    <w:p>
      <w:pPr>
        <w:pStyle w:val="BookList"/>
        <w:numPr>
          <w:ilvl w:val="0"/>
          <w:numId w:val="1001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月日はすべて陰暦。西暦の日付に換算しない。干支は年・日を記す伝統的な暦の符号であり、「戊」と「午」などを混同しない。</w:t>
      </w:r>
    </w:p>
    <w:p>
      <w:pPr>
        <w:pStyle w:val="BookList"/>
        <w:numPr>
          <w:ilvl w:val="0"/>
          <w:numId w:val="1001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ここでいう戒めは主に性交を慎むこと。「斎戒」は宗教的な慎みを含む。「誕辰」は神仏の誕生を記念する日を指す。</w:t>
      </w:r>
    </w:p>
    <w:p>
      <w:pPr>
        <w:pStyle w:val="BookList"/>
        <w:numPr>
          <w:ilvl w:val="0"/>
          <w:numId w:val="1001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「紀」は十二年、「算」は百日という原書の寿命計算の単位。「福禄」は授けられる幸い・俸禄をいう。「人神」は身体に宿るとされた神、「三尸」は人の行いを報告するとされた体内の三つの霊的存在を指す。</w:t>
      </w:r>
    </w:p>
    <w:p>
      <w:pPr>
        <w:pStyle w:val="BookList"/>
        <w:numPr>
          <w:ilvl w:val="0"/>
          <w:numId w:val="1001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「斗」は星の配列やその神格を指す。北斗・南斗という原書の区別を保つ。「三元」は後掲の条文に日付が示される三つの祭日である。</w:t>
      </w:r>
    </w:p>
    <w:p>
      <w:pPr>
        <w:pStyle w:val="BookList"/>
        <w:numPr>
          <w:ilvl w:val="0"/>
          <w:numId w:val="1001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各日には「戒由」と「報い」を別々の列として、原表の順序で載せる。同じ日の複数の戒由と複数の報いを、上から一対一に対応させてはいけない。「記載なし」は、その日が無害だという意味ではない。</w:t>
      </w:r>
    </w:p>
    <w:p>
      <w:pPr>
        <w:pStyle w:val="BookList"/>
        <w:numPr>
          <w:ilvl w:val="0"/>
          <w:numId w:val="1001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不明字や疑わしい日付も無断で直さない。七月・十月一日の「晦日」、陽錯日の「申寅」、十二月の「開月」、「失瘏」は末尾の注を参照。</w:t>
      </w:r>
      <w:bookmarkEnd w:id="11"/>
    </w:p>
    <w:p>
      <w:pPr>
        <w:pStyle w:val="Heading2"/>
        <w:pageBreakBefore/>
      </w:pPr>
      <w:bookmarkStart w:id="13" w:name="b7d0690131ec10bd0ac71d32da3fe5d"/>
      <w:bookmarkStart w:id="12" w:name="b507594769c9bbf6aec6de426b75550"/>
      <w:bookmarkEnd w:id="12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13"/>
    </w:p>
    <w:p>
      <w:pPr>
        <w:pStyle w:val="BookFirst"/>
        <w:overflowPunct w:val="1"/>
      </w:pPr>
      <w:bookmarkStart w:id="14" w:name="ba7aace4c839e904500b5e8847d324d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168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165</w:t>
      </w:r>
      <w:bookmarkEnd w:id="14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15" w:name="b08f8153ff99cb3bc097285e0f2feda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天臘（天の祭日）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玉帝が世人の精神・気、福禄、寿命を調べる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朔日（月の初日）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福禄を削られ、寿命を一紀奪われる（一紀は十二年、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一算は百日であり、紀や算を奪われるとは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いずれも寿命が短くなることをいう）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万神が集う。斗の神が降臨する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五虚の忌日（五虚とは、中国伝統医学でいう身体の衰弱を示す五つの症状で、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脈が細い、皮膚が冷たい、大小便が漏れる、飲食物を受けつけない、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真気が不足すること）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六耗の忌日（陰・陽・暗さ・明るさ・風・雨による六種の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病）。雷斎日（毎月同じ）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上会日（上の会日）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寿命を損なう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第五殿の閻羅天子の誕辰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四天王が巡行する（毎月同じ）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玉皇上帝の誕辰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三元の神々が降臨する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四天王が巡行する（毎月同じ）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三元の神々が降臨する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上元の神々の集会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望日（満月の日。毎月同じ）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四天王が巡行する（毎月同じ）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三元の神々が降臨する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長春真人の誕辰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三尸の神が報告する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四天王が巡行する（毎月同じ）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晦日（月末の日。毎月同じ）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天地の倉が開く日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寿命を損ない、病を持つ子が生まれる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斗の神が降臨する（毎月同じ）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人神が陰部にある（毎月同じ。一日前から戒めるべきとする）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四天王が巡行する（毎月同じ）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晦日。司命が報告する（毎月同じ）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四天王が巡行する（毎月同じ。小の月は二十九日に戒める）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15"/>
          </w:p>
        </w:tc>
      </w:tr>
    </w:tbl>
    <w:p>
      <w:pPr>
        <w:pStyle w:val="Heading2"/>
        <w:pageBreakBefore/>
      </w:pPr>
      <w:bookmarkStart w:id="17" w:name="b7a30d630a03f81e8a52f5590dc33bd"/>
      <w:bookmarkStart w:id="16" w:name="b6a4d1356961c12c2f8ecc04c63d428"/>
      <w:bookmarkEnd w:id="16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2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17"/>
    </w:p>
    <w:p>
      <w:pPr>
        <w:pStyle w:val="BookFirst"/>
        <w:overflowPunct w:val="1"/>
      </w:pPr>
      <w:bookmarkStart w:id="18" w:name="b91f117a868d74f8386521ba256e01a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169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166</w:t>
      </w:r>
      <w:bookmarkEnd w:id="18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19" w:name="b672fedd3ec09a3056e0fd9c8ebc190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朔日（月の初日）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第一殿の秦広王の誕辰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万神が集う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福徳土地正神の誕辰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災いに遭う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文昌帝君の誕辰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雷斎日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東岳帝君の誕辰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釈迦牟尼仏の出家の日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宋帝王の誕辰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張大帝の誕辰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釈迦牟尼仏の般涅槃の日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望日。太上老君の誕辰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東方の杜将軍の誕辰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第四殿の五官王の誕辰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至聖先師孔子の忌日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観音大士の誕辰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普賢菩薩の誕辰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19"/>
          </w:p>
        </w:tc>
      </w:tr>
    </w:tbl>
    <w:p>
      <w:pPr>
        <w:pStyle w:val="Heading2"/>
        <w:pageBreakBefore/>
      </w:pPr>
      <w:bookmarkStart w:id="21" w:name="b60db77d538aae02973af5ca878229c"/>
      <w:bookmarkStart w:id="20" w:name="bc556c32e644e8bf7cac624707ea5f9"/>
      <w:bookmarkEnd w:id="20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3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21"/>
    </w:p>
    <w:p>
      <w:pPr>
        <w:pStyle w:val="BookFirst"/>
        <w:overflowPunct w:val="1"/>
      </w:pPr>
      <w:bookmarkStart w:id="22" w:name="b63e97d110f41e24d049b7b26b4ba78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170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167</w:t>
      </w:r>
      <w:bookmarkEnd w:id="22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23" w:name="ba13a4f1372136ecb22d3ccb8b26028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朔日（月の初日）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第二殿の楚江王の誕辰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玄天上帝の誕辰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雷斎日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第六殿の卞城王の誕辰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牛鬼の神が現れる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悪しき胎を産む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12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中央五道の神の誕辰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望日。玄壇の神の誕辰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昊天上帝の誕辰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准胝菩薩の誕辰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中岳大帝の誕辰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后土娘娘の誕辰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三茅の神々が降臨する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天地の倉が開く日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子孫娘娘の誕辰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寿命を損なう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第七殿の泰山王の誕辰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至聖先師倉頡の誕辰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23"/>
          </w:p>
        </w:tc>
      </w:tr>
    </w:tbl>
    <w:p>
      <w:pPr>
        <w:pStyle w:val="Heading2"/>
        <w:pageBreakBefore/>
      </w:pPr>
      <w:bookmarkStart w:id="25" w:name="b528d0e8c7a8b6881d579581113ffe3"/>
      <w:bookmarkStart w:id="24" w:name="b3f50ee6b62aad2cbd42666a217e4c6"/>
      <w:bookmarkEnd w:id="24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4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25"/>
    </w:p>
    <w:p>
      <w:pPr>
        <w:pStyle w:val="BookFirst"/>
        <w:overflowPunct w:val="1"/>
      </w:pPr>
      <w:bookmarkStart w:id="26" w:name="b0167ef9b18a64b026c221dbf7db769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171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168</w:t>
      </w:r>
      <w:bookmarkEnd w:id="26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27" w:name="b43436447dcf349faef9329b0601e2c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朔日（月の初日）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第八殿の都市王の誕辰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万神が善へと教化する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文殊菩薩の誕辰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「失瘏」（意味未確定）。胎児の夭折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雷斎日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釈迦牟尼仏の誕辰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万神が善へと教化する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善悪童子が降臨する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第九殿の平等王の誕辰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「失瘏」（意味未確定）。胎児の夭折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血による死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純陽祖師の誕辰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望日。鍾離祖師の誕辰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天地の倉が開く日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寿命を損なう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第十殿の転輪王の誕辰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天地の倉が開く日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紫微大帝の誕辰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眼光聖母の誕辰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四天王が巡行する（小の月に当たれば二十九日に戒める）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27"/>
          </w:p>
        </w:tc>
      </w:tr>
    </w:tbl>
    <w:p>
      <w:pPr>
        <w:pStyle w:val="Heading2"/>
        <w:pageBreakBefore/>
      </w:pPr>
      <w:bookmarkStart w:id="29" w:name="b04b7ea05761afb3229770bcaf6cc20"/>
      <w:bookmarkStart w:id="28" w:name="b35538b08001c42443c865671a17766"/>
      <w:bookmarkEnd w:id="28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5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29"/>
    </w:p>
    <w:p>
      <w:pPr>
        <w:pStyle w:val="BookFirst"/>
        <w:overflowPunct w:val="1"/>
      </w:pPr>
      <w:bookmarkStart w:id="30" w:name="bee932eeb0ae482d7bec76b8dfae6f9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172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169</w:t>
      </w:r>
      <w:bookmarkEnd w:id="30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31" w:name="b2cc120a898e89060c7e248f751f099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朔日。南極長生大帝の誕辰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地臘（地の祭日）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五帝が人の官位・爵位を査定する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九毒日の一つ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夭折、思いがけない災い、不測の事態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九毒日の一つ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雷斎日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夭折、思いがけない災い、不測の事態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九毒日の一つ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夭折、思いがけない災い、不測の事態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南方五道の神の誕辰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天の倉が開く日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天下都城隍の誕辰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寿命を損なう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12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炳霊公の誕辰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関聖が降臨する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夜の子の刻に天地が交わり調和する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三年以内に夫婦ともに亡くなる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望日（満月の日）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九毒日の一つ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夭折、思いがけない災い、不測の事態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九毒日の一つ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天地の元気が万物を生み育てる日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三年以内に夫婦ともに亡くなる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九毒日の一つ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夭折、思いがけない災い、不測の事態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張天師の誕辰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22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孝蛾神の誕辰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九毒日の一つ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夭折、思いがけない災い、不測の事態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九毒日の一つ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夭折、思いがけない災い、不測の事態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九毒日の一つ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夭折、思いがけない災い、不測の事態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31"/>
          </w:p>
        </w:tc>
      </w:tr>
    </w:tbl>
    <w:p>
      <w:pPr>
        <w:overflowPunct w:val="1"/>
      </w:pPr>
      <w:bookmarkStart w:id="32" w:name="bea9a3132c0eea6d7cd98dbd6d12f4f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原書の月注：この月は全日を戒めるのがよい。</w:t>
      </w:r>
      <w:bookmarkEnd w:id="32"/>
    </w:p>
    <w:p>
      <w:pPr>
        <w:pStyle w:val="Heading2"/>
        <w:pageBreakBefore/>
      </w:pPr>
      <w:bookmarkStart w:id="34" w:name="b1b11b68478856a594198592dadd6a6"/>
      <w:bookmarkStart w:id="33" w:name="b6a238fb1186627c5194004203aaff1"/>
      <w:bookmarkEnd w:id="33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6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34"/>
    </w:p>
    <w:p>
      <w:pPr>
        <w:pStyle w:val="BookFirst"/>
        <w:overflowPunct w:val="1"/>
      </w:pPr>
      <w:bookmarkStart w:id="35" w:name="b457d0a6107bc41616270edb1782730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173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170</w:t>
      </w:r>
      <w:bookmarkEnd w:id="35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36" w:name="b798a99590ed6c34f222550108978d9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朔日（月の初日）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南贍部洲で大法輪が転ぜられる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寿命を損なう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天の倉が開く日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雷斎日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寿命を損なう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金粟如来の誕辰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井泉龍王の誕辰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望日（満月の日）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観音大士の涅槃（成道の日）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南方の火神の誕辰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火災に遭う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雷祖の誕辰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関帝の誕辰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36"/>
          </w:p>
        </w:tc>
      </w:tr>
    </w:tbl>
    <w:p>
      <w:pPr>
        <w:pStyle w:val="Heading2"/>
        <w:pageBreakBefore/>
      </w:pPr>
      <w:bookmarkStart w:id="38" w:name="b68b43b1ae0d5a905d9f6723d268eba"/>
      <w:bookmarkStart w:id="37" w:name="b1eb872f0c111713d708181af15a60e"/>
      <w:bookmarkEnd w:id="37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7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38"/>
    </w:p>
    <w:p>
      <w:pPr>
        <w:pStyle w:val="BookFirst"/>
        <w:overflowPunct w:val="1"/>
      </w:pPr>
      <w:bookmarkStart w:id="39" w:name="be56e34df8066ba42b592349fd35221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174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171</w:t>
      </w:r>
      <w:bookmarkEnd w:id="39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40" w:name="bb657b675f4bb6bdc2694bdcf780a34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中会日（中の会日）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別の記載では七日とする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寿命を損なう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雷斎日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道徳臘（道と徳の祭日）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五帝が生者の善悪を調べる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魁星の誕辰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陰毒日。厳しく忌む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12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長真譚真人の誕辰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大勢至菩薩の誕辰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三元の神々が降臨する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望日。三元の神々が降臨する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地官が名簿を調べる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三元の神々が降臨する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西王母の誕辰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太歳の誕辰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22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増福財神の誕辰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地蔵菩薩の誕辰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40"/>
          </w:p>
        </w:tc>
      </w:tr>
    </w:tbl>
    <w:p>
      <w:pPr>
        <w:pStyle w:val="Heading2"/>
        <w:pageBreakBefore/>
      </w:pPr>
      <w:bookmarkStart w:id="42" w:name="bb7036b9fadcee59340bb679b2302d6"/>
      <w:bookmarkStart w:id="41" w:name="b2aed3c832d135d79d93334734d319f"/>
      <w:bookmarkEnd w:id="41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8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42"/>
    </w:p>
    <w:p>
      <w:pPr>
        <w:pStyle w:val="BookFirst"/>
        <w:overflowPunct w:val="1"/>
      </w:pPr>
      <w:bookmarkStart w:id="43" w:name="bffa16652023897ccde49710bdc3e7c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175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172</w:t>
      </w:r>
      <w:bookmarkEnd w:id="43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44" w:name="b178e03b4a9ccb881d04e503d1e1603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朔日（月の初日）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許真君の誕辰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斗の神が降臨する。北斗の誕辰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司命竈君の誕辰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火災に遭う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雷声大帝の誕辰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雷斎の日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北斗大帝の誕辰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12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西方五道の神の誕辰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望日（満月の日）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太陰の朝元（月神が根源に朝礼する。香を焚いて夜を守るべきとする）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突然死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天曹の掠刷真君が降臨する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貧困と夭折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天人が福を興す日（斎戒し、吉事を心に思うべきとする）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漢の桓侯、張顕王の誕辰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竈君夫人の誕辰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至聖先師孔子の誕辰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四天の神々が集い事を議する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諸神が調査・審査する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寿命を一算奪われる</w:t>
            </w:r>
            <w:bookmarkEnd w:id="44"/>
          </w:p>
        </w:tc>
      </w:tr>
    </w:tbl>
    <w:p>
      <w:pPr>
        <w:pStyle w:val="Heading2"/>
        <w:pageBreakBefore/>
      </w:pPr>
      <w:bookmarkStart w:id="46" w:name="b38efc77f8cc502b75df3b2726e93da"/>
      <w:bookmarkStart w:id="45" w:name="b7f0be2119fdba3f4ec555ae3a5e279"/>
      <w:bookmarkEnd w:id="45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9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46"/>
    </w:p>
    <w:p>
      <w:pPr>
        <w:pStyle w:val="BookFirst"/>
        <w:overflowPunct w:val="1"/>
      </w:pPr>
      <w:bookmarkStart w:id="47" w:name="b09fff1c9b1b5c2bf13c72e3bfe8d75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176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173</w:t>
      </w:r>
      <w:bookmarkEnd w:id="47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48" w:name="b8a40a09c3752c69b9e2a553d765fb9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朔日。南斗の誕辰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一日から九日まで、北斗の九星が降臨する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（この九日間はすべて斎戒すべきとする）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五瘟神の誕辰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斗母の誕辰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酆都大帝の誕辰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玄天上帝が天へ昇る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斗母が降臨する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戒めるべき日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孟婆尊神の誕辰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望日（満月の日）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金龍四大王の誕辰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水難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日宮と月宮が会合する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観世音菩薩の出家の日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薬師瑠璃光仏の誕辰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重篤な病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48"/>
          </w:p>
        </w:tc>
      </w:tr>
    </w:tbl>
    <w:p>
      <w:pPr>
        <w:pStyle w:val="Heading2"/>
        <w:pageBreakBefore/>
      </w:pPr>
      <w:bookmarkStart w:id="50" w:name="b76791fb9b05e2c6125c3f3f609076e"/>
      <w:bookmarkStart w:id="49" w:name="be20813b14554853b8829459d0e1309"/>
      <w:bookmarkEnd w:id="49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10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50"/>
    </w:p>
    <w:p>
      <w:pPr>
        <w:pStyle w:val="BookFirst"/>
        <w:overflowPunct w:val="1"/>
      </w:pPr>
      <w:bookmarkStart w:id="51" w:name="b48af596a0ecbbecc34e5bd1bd44b81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177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174</w:t>
      </w:r>
      <w:bookmarkEnd w:id="51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52" w:name="bef5273577c836dd36af0ee1eb02007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晦日。民歳臘（民の歳の祭日）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一年以内に死ぬ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斗の神が降臨する。三茅の誕辰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下会日（下の会日）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達磨祖師の誕辰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寿命を損なう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天曹が調査する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仏の涅槃の日。色欲を厳しく忌む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一年以内に死ぬ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戒めるべき日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三元の神々が降臨する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望日。三元の神々が降臨する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下元の日に、水府が名簿を調べる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三元の神々が降臨する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北極紫薇大帝が降臨する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52"/>
          </w:p>
        </w:tc>
      </w:tr>
    </w:tbl>
    <w:p>
      <w:pPr>
        <w:pStyle w:val="Heading2"/>
        <w:pageBreakBefore/>
      </w:pPr>
      <w:bookmarkStart w:id="54" w:name="b5553f834c578b047765dc4d75c0138"/>
      <w:bookmarkStart w:id="53" w:name="bdf40fbb9f85388b076ee4c8278241f"/>
      <w:bookmarkEnd w:id="53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11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54"/>
    </w:p>
    <w:p>
      <w:pPr>
        <w:pStyle w:val="BookFirst"/>
        <w:overflowPunct w:val="1"/>
      </w:pPr>
      <w:bookmarkStart w:id="55" w:name="bb460b47de4ee242bf61012fcda0e3f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178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175</w:t>
      </w:r>
      <w:bookmarkEnd w:id="55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56" w:name="b99f55fcc8afb25e3d68a60d89a343e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朔日（月の初日）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至聖先師孔子の誕辰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西岳大帝の誕辰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福禄を削られ、寿命を一紀奪われる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天の倉が開く日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太乙救苦天尊の誕辰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望日（満月の日）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夜の前半に禁を犯す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夜の後半に禁を犯す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男が死ぬ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女が死ぬ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阿弥陀仏の誕辰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太陽日宮の誕辰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思いがけない災い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張仙の誕辰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子孫が絶える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掠刷大夫が降臨する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晦日（月末の日）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大凶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北方五道の神の誕辰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晦日。司命が報告する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四天王が巡行する（小の月は二十九日に戒める）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  <w:bookmarkEnd w:id="56"/>
          </w:p>
        </w:tc>
      </w:tr>
    </w:tbl>
    <w:p>
      <w:pPr>
        <w:overflowPunct w:val="1"/>
      </w:pPr>
      <w:bookmarkStart w:id="57" w:name="be3d7d655f57a421e1a08b53408a8da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配置上の注：十五日の「夜の前半に禁を犯す」は「男が死ぬ」、「夜の後半に禁を犯す」は「女が死ぬ」に対応する。この二組は原頁で位置が明確なため特記する。ほかの欄を一律に一対一対応とするものではない。</w:t>
      </w:r>
      <w:bookmarkEnd w:id="57"/>
    </w:p>
    <w:p>
      <w:pPr>
        <w:pStyle w:val="Heading2"/>
        <w:pageBreakBefore/>
      </w:pPr>
      <w:bookmarkStart w:id="59" w:name="b35091713c0e8e9ade6b82887fe1cd4"/>
      <w:bookmarkStart w:id="58" w:name="b1eca236940d4548a39fae78f8a8240"/>
      <w:bookmarkEnd w:id="58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陰暦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12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月</w:t>
      </w:r>
      <w:bookmarkEnd w:id="59"/>
    </w:p>
    <w:p>
      <w:pPr>
        <w:pStyle w:val="BookFirst"/>
        <w:overflowPunct w:val="1"/>
      </w:pPr>
      <w:bookmarkStart w:id="60" w:name="b0d01ac41dfdbdf5117818ceca52048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179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176</w:t>
      </w:r>
      <w:bookmarkEnd w:id="60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780"/>
        <w:gridCol w:w="2243"/>
        <w:gridCol w:w="1853"/>
      </w:tblGrid>
      <w:tr>
        <w:trPr>
          <w:cantSplit/>
          <w:tblHeader/>
        </w:trPr>
        <w:tc>
          <w:tcPr>
            <w:tcW w:type="dxa" w:w="780"/>
            <w:vAlign w:val="center"/>
            <w:shd w:fill="EEEEEE" w:val="clear"/>
          </w:tcPr>
          <w:p>
            <w:pPr>
              <w:pStyle w:val="BookTable"/>
            </w:pPr>
            <w:bookmarkStart w:id="61" w:name="be663b3020a77d7a915c6f2c17de68a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</w:t>
            </w:r>
          </w:p>
        </w:tc>
        <w:tc>
          <w:tcPr>
            <w:tcW w:type="dxa" w:w="224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戒由（原順序）</w:t>
            </w:r>
          </w:p>
        </w:tc>
        <w:tc>
          <w:tcPr>
            <w:tcW w:type="dxa" w:w="1853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報いの記載（原順序）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朔日（月の初日）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天の倉が開く「月」（原文の字を保持）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雷斎日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王侯臘（王侯の祭日）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釈迦如来の成道の日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12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太素三元君が真尊に拝謁する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望日（満月の日）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16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南岳大帝の誕辰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19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楊公の忌日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天地の道が交わる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寿命が縮まる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21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天猷上帝の誕辰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23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五岳の神々が降臨する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24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司命が天に参り、人の善悪を報告する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大きな災い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25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三清と玉帝がともに降臨し、善悪を調べる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思いがけない災い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27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斗の神が降臨する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寿命を一紀奪われる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28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人神が陰部にある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病にかかる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29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華厳菩薩の誕辰</w:t>
            </w:r>
            <w:r>
              <w:br/>
            </w: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四天王が巡行する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記載なし</w:t>
            </w:r>
          </w:p>
        </w:tc>
      </w:tr>
      <w:tr>
        <w:trPr>
          <w:cantSplit/>
        </w:trPr>
        <w:tc>
          <w:tcPr>
            <w:tcW w:type="dxa" w:w="780"/>
            <w:vAlign w:val="center"/>
          </w:tcPr>
          <w:p>
            <w:pPr>
              <w:pStyle w:val="BookTable"/>
            </w:pPr>
            <w:r>
              <w:rPr>
                <w:rFonts w:ascii="Noto Serif" w:hAnsi="Noto Serif" w:eastAsia="Noto Serif CJK JP" w:cs="Noto Serif"/>
                <w:color w:val="000000"/>
                <w:lang w:val="ja-JP" w:eastAsia="ja-JP" w:bidi="ja-JP"/>
              </w:rPr>
              <w:t>30</w:t>
            </w:r>
          </w:p>
        </w:tc>
        <w:tc>
          <w:tcPr>
            <w:tcW w:type="dxa" w:w="224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諸神が降臨し、善悪を調査する</w:t>
            </w:r>
          </w:p>
        </w:tc>
        <w:tc>
          <w:tcPr>
            <w:tcW w:type="dxa" w:w="1853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禁を犯した男女がともに亡くなる</w:t>
            </w:r>
            <w:bookmarkEnd w:id="61"/>
          </w:p>
        </w:tc>
      </w:tr>
    </w:tbl>
    <w:p>
      <w:pPr>
        <w:overflowPunct w:val="1"/>
      </w:pPr>
      <w:bookmarkStart w:id="62" w:name="b6a57eec9eee0fe6d9511aea768603f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独立した暦の条件：上旬（一日から十日）の戊の日。八日だけに限られない。原頁ではこの条件に固有の報いは明記されておらず、八日の「一紀を奪う」を引き継がせない。</w:t>
      </w:r>
      <w:bookmarkEnd w:id="62"/>
    </w:p>
    <w:p>
      <w:pPr>
        <w:overflowPunct w:val="1"/>
      </w:pPr>
      <w:bookmarkStart w:id="63" w:name="bf5e0cdf16c56c61fad86714e904124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原書の評語：以上の戒期は毎年合計二百二十五日である。閏月も前記に従う。いずれも各月の一定の日である。</w:t>
      </w:r>
      <w:bookmarkEnd w:id="63"/>
    </w:p>
    <w:p>
      <w:pPr>
        <w:pStyle w:val="Heading2"/>
        <w:pageBreakBefore/>
      </w:pPr>
      <w:bookmarkStart w:id="65" w:name="b06cbb538402110c9cc992304c0877e"/>
      <w:bookmarkStart w:id="64" w:name="b1c0413264deccc0bd0f07b18f59136"/>
      <w:bookmarkEnd w:id="64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二分の月（春分・秋分）</w:t>
      </w:r>
      <w:bookmarkEnd w:id="65"/>
    </w:p>
    <w:p>
      <w:pPr>
        <w:pStyle w:val="BookFirst"/>
        <w:overflowPunct w:val="1"/>
      </w:pPr>
      <w:bookmarkStart w:id="66" w:name="bab5337667a000f87d6a2728a0f3586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180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177</w:t>
      </w:r>
      <w:bookmarkEnd w:id="66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1219"/>
        <w:gridCol w:w="1219"/>
        <w:gridCol w:w="1219"/>
        <w:gridCol w:w="1219"/>
      </w:tblGrid>
      <w:tr>
        <w:trPr>
          <w:cantSplit/>
          <w:tblHeader/>
        </w:trPr>
        <w:tc>
          <w:tcPr>
            <w:tcW w:type="dxa" w:w="1219"/>
            <w:vAlign w:val="center"/>
            <w:shd w:fill="EEEEEE" w:val="clear"/>
          </w:tcPr>
          <w:p>
            <w:pPr>
              <w:pStyle w:val="BookTable"/>
            </w:pPr>
            <w:bookmarkStart w:id="67" w:name="b6ae322411185e0572376d259a91b41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時期</w:t>
            </w:r>
          </w:p>
        </w:tc>
        <w:tc>
          <w:tcPr>
            <w:tcW w:type="dxa" w:w="1219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原書の説明</w:t>
            </w:r>
          </w:p>
        </w:tc>
        <w:tc>
          <w:tcPr>
            <w:tcW w:type="dxa" w:w="1219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禁を犯した場合の報い</w:t>
            </w:r>
          </w:p>
        </w:tc>
        <w:tc>
          <w:tcPr>
            <w:tcW w:type="dxa" w:w="1219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戒める期間</w:t>
            </w:r>
          </w:p>
        </w:tc>
      </w:tr>
      <w:tr>
        <w:trPr>
          <w:cantSplit/>
        </w:trPr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春分</w:t>
            </w:r>
          </w:p>
        </w:tc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雷が鳴り始めようとする。</w:t>
            </w:r>
          </w:p>
        </w:tc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禁を犯すと、生まれる子の五官や四肢が十分に備わらず、父母にも災いがある。</w:t>
            </w:r>
          </w:p>
        </w:tc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啓蟄から禁を守り始め、一か月を過ぎるまで戒めるべきとする。</w:t>
            </w:r>
          </w:p>
        </w:tc>
      </w:tr>
      <w:tr>
        <w:trPr>
          <w:cantSplit/>
        </w:trPr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秋分</w:t>
            </w:r>
          </w:p>
        </w:tc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殺気がしだいに強まり、陽の気が日ごとに衰える。</w:t>
            </w:r>
          </w:p>
        </w:tc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原頁では左の説明欄と横方向に結合</w:t>
            </w:r>
          </w:p>
        </w:tc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白露から禁を守り始め、一か月を過ぎるまで戒めるべきとする。</w:t>
            </w:r>
          </w:p>
        </w:tc>
      </w:tr>
      <w:tr>
        <w:trPr>
          <w:cantSplit/>
        </w:trPr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※この二つの節気では、当日とその前後各三日の計七日間、禁を犯すと必ず重篤な病にかかる。とりわけ厳しく戒めるべきである。</w:t>
            </w:r>
          </w:p>
        </w:tc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</w:p>
        </w:tc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</w:p>
        </w:tc>
        <w:tc>
          <w:tcPr>
            <w:tcW w:type="dxa" w:w="1219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  <w:bookmarkEnd w:id="67"/>
          </w:p>
        </w:tc>
      </w:tr>
    </w:tbl>
    <w:p>
      <w:pPr>
        <w:overflowPunct w:val="1"/>
      </w:pPr>
      <w:bookmarkStart w:id="68" w:name="b7fcb7ecf083f4abb62a71ec936dc55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「—」は原表で文が全幅にわたる箇所の空欄を示す。報いがないという意味ではない。</w:t>
      </w:r>
      <w:bookmarkEnd w:id="68"/>
    </w:p>
    <w:p>
      <w:pPr>
        <w:pStyle w:val="Heading2"/>
        <w:pageBreakBefore/>
      </w:pPr>
      <w:bookmarkStart w:id="70" w:name="b6e2189503b4f344897a13ddc8b8199"/>
      <w:bookmarkStart w:id="69" w:name="ba763a5fd3ca459c79cb6deb8da7a08"/>
      <w:bookmarkEnd w:id="69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二至の月（夏至・冬至）</w:t>
      </w:r>
      <w:bookmarkEnd w:id="70"/>
    </w:p>
    <w:p>
      <w:pPr>
        <w:pStyle w:val="BookFirst"/>
        <w:overflowPunct w:val="1"/>
      </w:pPr>
      <w:bookmarkStart w:id="71" w:name="b42101cf6b75efe17a24e486cd4671b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180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177</w:t>
      </w:r>
      <w:bookmarkEnd w:id="71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438"/>
        <w:gridCol w:w="2438"/>
      </w:tblGrid>
      <w:tr>
        <w:trPr>
          <w:cantSplit/>
          <w:tblHeader/>
        </w:trPr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bookmarkStart w:id="72" w:name="bc4bb03732c1d5d9a46896ce5d6ebd6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時期・条件</w:t>
            </w:r>
          </w:p>
        </w:tc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原書の記述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夏至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陰陽が争い、生と死が分かれる時である。芒種から禁を守り始め、一か月を過ぎるまで戒めるべきとする。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冬至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陰陽が争い、生と死が分かれる時である。大雪から禁を守り始め、一か月を過ぎるまで戒めるべきとする。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※この二つの節気は、陰陽が途絶え、また続いていく転換点であり、最も禁忌を守るべき時である。※この二至の当日とその前後各三日の計七日間、禁を犯すと必ず急病にかかる。とりわけ厳しく戒めるべきである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  <w:bookmarkEnd w:id="72"/>
          </w:p>
        </w:tc>
      </w:tr>
    </w:tbl>
    <w:p>
      <w:pPr>
        <w:overflowPunct w:val="1"/>
      </w:pPr>
      <w:bookmarkStart w:id="73" w:name="bd2fc8c10d9998a9d61b1928b5d6823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「—」は原表で文が全幅にわたる箇所の空欄を示す。報いがないという意味ではない。</w:t>
      </w:r>
      <w:bookmarkEnd w:id="73"/>
    </w:p>
    <w:p>
      <w:pPr>
        <w:pStyle w:val="Heading2"/>
        <w:pageBreakBefore/>
      </w:pPr>
      <w:bookmarkStart w:id="75" w:name="bbbb0ad41b90544a4d9621ad9d56936"/>
      <w:bookmarkStart w:id="74" w:name="b7d12251b52ec4e47480d2164c1145b"/>
      <w:bookmarkEnd w:id="74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冬至</w:t>
      </w:r>
      <w:bookmarkEnd w:id="75"/>
    </w:p>
    <w:p>
      <w:pPr>
        <w:pStyle w:val="BookFirst"/>
        <w:overflowPunct w:val="1"/>
      </w:pPr>
      <w:bookmarkStart w:id="76" w:name="b459691e927a3707a9fde3e4f66add2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180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177</w:t>
      </w:r>
      <w:bookmarkEnd w:id="76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438"/>
        <w:gridCol w:w="2438"/>
      </w:tblGrid>
      <w:tr>
        <w:trPr>
          <w:cantSplit/>
          <w:tblHeader/>
        </w:trPr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bookmarkStart w:id="77" w:name="b2a4f36f73975a0ff4dc0878ea1043b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時期・条件</w:t>
            </w:r>
          </w:p>
        </w:tc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原書の記述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夜半、子の刻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いずれも禁を犯せば、一年以内に死ぬとされる。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その後の庚の日と辛の日。三度目の戌の日。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上欄と共通</w:t>
            </w:r>
            <w:bookmarkEnd w:id="77"/>
          </w:p>
        </w:tc>
      </w:tr>
    </w:tbl>
    <w:p>
      <w:pPr>
        <w:pStyle w:val="Heading3"/>
        <w:pageBreakBefore w:val="0"/>
      </w:pPr>
      <w:bookmarkStart w:id="79" w:name="bb5361bbc159288f4c120fc765670e7"/>
      <w:bookmarkStart w:id="78" w:name="bb2fdb92d24c735817e640853bd576a"/>
      <w:bookmarkEnd w:id="78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表に続く原書の条文</w:t>
      </w:r>
      <w:bookmarkEnd w:id="79"/>
    </w:p>
    <w:p>
      <w:pPr>
        <w:pStyle w:val="BookList"/>
        <w:numPr>
          <w:ilvl w:val="0"/>
          <w:numId w:val="1003"/>
        </w:numPr>
      </w:pPr>
      <w:bookmarkStart w:id="80" w:name="b06b62ee003e3c27ae5309979dd9ca3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三元の日。禁を犯すと寿命が五年縮まる。（陰暦正月十五日・七月十五日・十月十五日を、それぞれ上元・中元・下元という。）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四立（立春・立夏・立秋・立冬）、四離（冬至・夏至・春分・秋分の前日）、四絶日（四立の前日）、二社日（立春後の五番目の戊の日を春社、立秋後の五番目の戊の日を秋社とする）。いずれも禁を犯すと寿命が五年縮まる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社日に身ごもった子は、毛髪がすべて白くなる。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三伏の日（初伏・中伏・末伏の三つで、それぞれ十日間）、弦の日（上弦は七日・八日、下弦は二十二日・二十三日）、晦日（毎月の最後の日）、毎月三度の辛の日。いずれも禁を犯すと寿命が一年縮まる。（初・中・末の三伏は、それぞれ十日間。）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甲子の日、庚申の日、太歳の日、香を供え、斎戒し、仏に供養して感謝する日。いずれも禁を犯すと寿命が一年縮まる。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祖先の命日、父母の誕生日と命日。いずれも禁を犯すと寿命が一年縮まる。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自分と配偶者の本命の誕生日。いずれも禁を犯すと寿命が縮まる。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丙の日、丁の日、天地の倉が開く日。いずれも禁を犯すと病にかかる。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毀敗日（破損と衰敗の日）は、大の月の十八日、小の月の十七日。禁を犯すと病にかかる。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十悪大敗日（大きな凶日）：甲の年と己の年では、三月の戊戌、七月の癸亥、十月の丙申、十一月の丁亥の日。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乙の年と庚の年では、四月の壬申、九月の乙巳の日。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丙の年と辛の年では、三月の辛巳、九月の庚辰、十月の甲辰の日。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丁の年と壬の年では、この忌日はない。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戊の年と癸の年では、六月の己丑の日。</w:t>
      </w:r>
    </w:p>
    <w:p>
      <w:pPr>
        <w:pStyle w:val="BookList"/>
        <w:numPr>
          <w:ilvl w:val="0"/>
          <w:numId w:val="1003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これらはすべて非常に不吉な日であり、戒めるべきである。</w:t>
      </w:r>
      <w:bookmarkEnd w:id="80"/>
    </w:p>
    <w:p>
      <w:pPr>
        <w:pStyle w:val="Heading2"/>
        <w:pageBreakBefore/>
      </w:pPr>
      <w:bookmarkStart w:id="82" w:name="b853f5375b19993abb71b0a49bb17cd"/>
      <w:bookmarkStart w:id="81" w:name="b7d384043ad79c1cc9139dd36bef5c3"/>
      <w:bookmarkEnd w:id="81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陰錯日</w:t>
      </w:r>
      <w:bookmarkEnd w:id="82"/>
    </w:p>
    <w:p>
      <w:pPr>
        <w:pStyle w:val="BookFirst"/>
        <w:overflowPunct w:val="1"/>
      </w:pPr>
      <w:bookmarkStart w:id="83" w:name="b1c3c17ab074c0e84e643f70d4f453c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181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178</w:t>
      </w:r>
      <w:bookmarkEnd w:id="83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75"/>
        <w:gridCol w:w="975"/>
        <w:gridCol w:w="975"/>
        <w:gridCol w:w="975"/>
        <w:gridCol w:w="975"/>
      </w:tblGrid>
      <w:tr>
        <w:trPr>
          <w:cantSplit/>
          <w:tblHeader/>
        </w:trPr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bookmarkStart w:id="84" w:name="b555512475129b20030a4e633d9d938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日付</w:t>
            </w:r>
            <w:r>
              <w:rPr>
                <w:rFonts w:ascii="Noto Serif" w:hAnsi="Noto Serif" w:eastAsia="Noto Serif CJK JP" w:cs="Noto Serif"/>
                <w:color w:val="000000"/>
                <w:b w:val="1"/>
                <w:bCs w:val="1"/>
                <w:lang w:val="ja-JP" w:eastAsia="ja-JP" w:bidi="ja-JP"/>
              </w:rPr>
              <w:t>1</w:t>
            </w:r>
          </w:p>
        </w:tc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日付</w:t>
            </w:r>
            <w:r>
              <w:rPr>
                <w:rFonts w:ascii="Noto Serif" w:hAnsi="Noto Serif" w:eastAsia="Noto Serif CJK JP" w:cs="Noto Serif"/>
                <w:color w:val="000000"/>
                <w:b w:val="1"/>
                <w:bCs w:val="1"/>
                <w:lang w:val="ja-JP" w:eastAsia="ja-JP" w:bidi="ja-JP"/>
              </w:rPr>
              <w:t>2</w:t>
            </w:r>
          </w:p>
        </w:tc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日付</w:t>
            </w:r>
            <w:r>
              <w:rPr>
                <w:rFonts w:ascii="Noto Serif" w:hAnsi="Noto Serif" w:eastAsia="Noto Serif CJK JP" w:cs="Noto Serif"/>
                <w:color w:val="000000"/>
                <w:b w:val="1"/>
                <w:bCs w:val="1"/>
                <w:lang w:val="ja-JP" w:eastAsia="ja-JP" w:bidi="ja-JP"/>
              </w:rPr>
              <w:t>3</w:t>
            </w:r>
          </w:p>
        </w:tc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日付</w:t>
            </w:r>
            <w:r>
              <w:rPr>
                <w:rFonts w:ascii="Noto Serif" w:hAnsi="Noto Serif" w:eastAsia="Noto Serif CJK JP" w:cs="Noto Serif"/>
                <w:color w:val="000000"/>
                <w:b w:val="1"/>
                <w:bCs w:val="1"/>
                <w:lang w:val="ja-JP" w:eastAsia="ja-JP" w:bidi="ja-JP"/>
              </w:rPr>
              <w:t>4</w:t>
            </w:r>
          </w:p>
        </w:tc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全日共通の説明</w:t>
            </w:r>
          </w:p>
        </w:tc>
      </w:tr>
      <w:tr>
        <w:trPr>
          <w:cantSplit/>
        </w:trPr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正月の庚戌の日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二月の辛酉の日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三月の庚申の日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四月の丁未の日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これらは陰が不足する日であり、すべて戒めるべきである。</w:t>
            </w:r>
          </w:p>
        </w:tc>
      </w:tr>
      <w:tr>
        <w:trPr>
          <w:cantSplit/>
        </w:trPr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五月の丙午の日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六月の丁巳の日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七月の甲辰の日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八月の乙卯の日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全日共通</w:t>
            </w:r>
          </w:p>
        </w:tc>
      </w:tr>
      <w:tr>
        <w:trPr>
          <w:cantSplit/>
        </w:trPr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九月の甲寅の日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十月の癸丑の日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十一月の壬子の日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十二月の癸亥の日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全日共通</w:t>
            </w:r>
            <w:bookmarkEnd w:id="84"/>
          </w:p>
        </w:tc>
      </w:tr>
    </w:tbl>
    <w:p>
      <w:pPr>
        <w:pStyle w:val="Heading2"/>
        <w:pageBreakBefore/>
      </w:pPr>
      <w:bookmarkStart w:id="86" w:name="b4831575354f5a3352986ceef8cce05"/>
      <w:bookmarkStart w:id="85" w:name="b50294d4bbbb78b57048319643910b0"/>
      <w:bookmarkEnd w:id="85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陽錯日</w:t>
      </w:r>
      <w:bookmarkEnd w:id="86"/>
    </w:p>
    <w:p>
      <w:pPr>
        <w:pStyle w:val="BookFirst"/>
        <w:overflowPunct w:val="1"/>
      </w:pPr>
      <w:bookmarkStart w:id="87" w:name="bea4c1a4732350d9c98284c93664d34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182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179</w:t>
      </w:r>
      <w:bookmarkEnd w:id="87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975"/>
        <w:gridCol w:w="975"/>
        <w:gridCol w:w="975"/>
        <w:gridCol w:w="975"/>
        <w:gridCol w:w="975"/>
      </w:tblGrid>
      <w:tr>
        <w:trPr>
          <w:cantSplit/>
          <w:tblHeader/>
        </w:trPr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bookmarkStart w:id="88" w:name="b92101e7958205b62594e3cf986d480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日付</w:t>
            </w:r>
            <w:r>
              <w:rPr>
                <w:rFonts w:ascii="Noto Serif" w:hAnsi="Noto Serif" w:eastAsia="Noto Serif CJK JP" w:cs="Noto Serif"/>
                <w:color w:val="000000"/>
                <w:b w:val="1"/>
                <w:bCs w:val="1"/>
                <w:lang w:val="ja-JP" w:eastAsia="ja-JP" w:bidi="ja-JP"/>
              </w:rPr>
              <w:t>1</w:t>
            </w:r>
          </w:p>
        </w:tc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日付</w:t>
            </w:r>
            <w:r>
              <w:rPr>
                <w:rFonts w:ascii="Noto Serif" w:hAnsi="Noto Serif" w:eastAsia="Noto Serif CJK JP" w:cs="Noto Serif"/>
                <w:color w:val="000000"/>
                <w:b w:val="1"/>
                <w:bCs w:val="1"/>
                <w:lang w:val="ja-JP" w:eastAsia="ja-JP" w:bidi="ja-JP"/>
              </w:rPr>
              <w:t>2</w:t>
            </w:r>
          </w:p>
        </w:tc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日付</w:t>
            </w:r>
            <w:r>
              <w:rPr>
                <w:rFonts w:ascii="Noto Serif" w:hAnsi="Noto Serif" w:eastAsia="Noto Serif CJK JP" w:cs="Noto Serif"/>
                <w:color w:val="000000"/>
                <w:b w:val="1"/>
                <w:bCs w:val="1"/>
                <w:lang w:val="ja-JP" w:eastAsia="ja-JP" w:bidi="ja-JP"/>
              </w:rPr>
              <w:t>3</w:t>
            </w:r>
          </w:p>
        </w:tc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日付</w:t>
            </w:r>
            <w:r>
              <w:rPr>
                <w:rFonts w:ascii="Noto Serif" w:hAnsi="Noto Serif" w:eastAsia="Noto Serif CJK JP" w:cs="Noto Serif"/>
                <w:color w:val="000000"/>
                <w:b w:val="1"/>
                <w:bCs w:val="1"/>
                <w:lang w:val="ja-JP" w:eastAsia="ja-JP" w:bidi="ja-JP"/>
              </w:rPr>
              <w:t>4</w:t>
            </w:r>
          </w:p>
        </w:tc>
        <w:tc>
          <w:tcPr>
            <w:tcW w:type="dxa" w:w="975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全日共通の説明</w:t>
            </w:r>
          </w:p>
        </w:tc>
      </w:tr>
      <w:tr>
        <w:trPr>
          <w:cantSplit/>
        </w:trPr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正月の「申寅」の日（原表の字を保持）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二月の乙卯の日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三月の甲辰の日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四月の丁巳の日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これらは陽が不足する日であり、すべて戒めるべきである。</w:t>
            </w:r>
          </w:p>
        </w:tc>
      </w:tr>
      <w:tr>
        <w:trPr>
          <w:cantSplit/>
        </w:trPr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五月の丙午の日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六月の丁未の日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七月の庚申の日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八月の辛酉の日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全日共通</w:t>
            </w:r>
          </w:p>
        </w:tc>
      </w:tr>
      <w:tr>
        <w:trPr>
          <w:cantSplit/>
        </w:trPr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九月の庚戌の日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十月の癸亥の日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十一月の壬子の日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十二月の癸丑の日</w:t>
            </w:r>
          </w:p>
        </w:tc>
        <w:tc>
          <w:tcPr>
            <w:tcW w:type="dxa" w:w="975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全日共通</w:t>
            </w:r>
            <w:bookmarkEnd w:id="88"/>
          </w:p>
        </w:tc>
      </w:tr>
    </w:tbl>
    <w:p>
      <w:pPr>
        <w:pStyle w:val="Heading3"/>
        <w:pageBreakBefore w:val="0"/>
      </w:pPr>
      <w:bookmarkStart w:id="90" w:name="b758d1d4a949e04a29d5aeaf610e04f"/>
      <w:bookmarkStart w:id="89" w:name="b5ef190d6e90aea7dd735f1d5c735bc"/>
      <w:bookmarkEnd w:id="89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表に続く原書の条文</w:t>
      </w:r>
      <w:bookmarkEnd w:id="90"/>
    </w:p>
    <w:p>
      <w:pPr>
        <w:pStyle w:val="BookList"/>
        <w:numPr>
          <w:ilvl w:val="0"/>
          <w:numId w:val="1005"/>
        </w:numPr>
      </w:pPr>
      <w:bookmarkStart w:id="91" w:name="b1d49975f49f44af4948b5a0518819f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評語：以上の戒期は、毎年『時憲書』（伝統的な暦書）に従い、月ごとに確かめて書き出し、本書に挟んで、その禁戒を守るべきである。</w:t>
      </w:r>
      <w:bookmarkEnd w:id="91"/>
    </w:p>
    <w:p>
      <w:pPr>
        <w:pStyle w:val="Heading2"/>
        <w:pageBreakBefore/>
      </w:pPr>
      <w:bookmarkStart w:id="93" w:name="b7b56b9698a42301886767924da828e"/>
      <w:bookmarkStart w:id="92" w:name="bfa363bfc5163e9970cd943c3211980"/>
      <w:bookmarkEnd w:id="92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天の忌み：厳しく戒めるべきこと</w:t>
      </w:r>
      <w:bookmarkEnd w:id="93"/>
    </w:p>
    <w:p>
      <w:pPr>
        <w:pStyle w:val="BookFirst"/>
        <w:overflowPunct w:val="1"/>
      </w:pPr>
      <w:bookmarkStart w:id="94" w:name="be6aad5327a84d8dd7d39c266e7706c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182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179</w:t>
      </w:r>
      <w:bookmarkEnd w:id="94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438"/>
        <w:gridCol w:w="2438"/>
      </w:tblGrid>
      <w:tr>
        <w:trPr>
          <w:cantSplit/>
          <w:tblHeader/>
        </w:trPr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bookmarkStart w:id="95" w:name="b712d9061d1b272f0d4676d7c6e0c10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時期・条件</w:t>
            </w:r>
          </w:p>
        </w:tc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原書の記述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酷暑と厳寒。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禁を犯すと、救いようのない重病にかかる。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激しい風、雷雨。天地が暗くなる時。日食・月食。虹が現れる時と地震。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禁を犯すと、原書のいう「怪物」を産み、自身も死ぬ。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昼間。星や月の下。灯火の前。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いずれも禁を犯すと寿命が縮まる。</w:t>
            </w:r>
            <w:bookmarkEnd w:id="95"/>
          </w:p>
        </w:tc>
      </w:tr>
    </w:tbl>
    <w:p>
      <w:pPr>
        <w:pStyle w:val="Heading2"/>
        <w:pageBreakBefore/>
      </w:pPr>
      <w:bookmarkStart w:id="97" w:name="b05728e0f360410b5087d292f4f53db"/>
      <w:bookmarkStart w:id="96" w:name="be1c60ab45089cfc1577a984728430c"/>
      <w:bookmarkEnd w:id="96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地の忌み：厳しく戒めるべきこと</w:t>
      </w:r>
      <w:bookmarkEnd w:id="97"/>
    </w:p>
    <w:p>
      <w:pPr>
        <w:pStyle w:val="BookFirst"/>
        <w:overflowPunct w:val="1"/>
      </w:pPr>
      <w:bookmarkStart w:id="98" w:name="b960750a8ce806c289b14451568bda7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182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179</w:t>
      </w:r>
      <w:bookmarkEnd w:id="98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438"/>
        <w:gridCol w:w="2438"/>
      </w:tblGrid>
      <w:tr>
        <w:trPr>
          <w:cantSplit/>
          <w:tblHeader/>
        </w:trPr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bookmarkStart w:id="99" w:name="b8ebd39a1f3a61b196b4b3e4a6ad908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時期・条件</w:t>
            </w:r>
          </w:p>
        </w:tc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原書の記述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神廟、仏寺、道観などの堂内。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禁を犯すと福禄と寿命が大きく減る。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井戸、竈、便所のそば。荒れた園、墓、遺体や棺のそば。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禁を犯すと悪神が胎内に宿り、さらに原書のいう「怪物」を産んで自身も死ぬ。</w:t>
            </w:r>
            <w:bookmarkEnd w:id="99"/>
          </w:p>
        </w:tc>
      </w:tr>
    </w:tbl>
    <w:p>
      <w:pPr>
        <w:pStyle w:val="Heading2"/>
        <w:pageBreakBefore/>
      </w:pPr>
      <w:bookmarkStart w:id="101" w:name="b7e9f8595a0c3f62bd5da035d12eac3"/>
      <w:bookmarkStart w:id="100" w:name="b523f3270b3488d5a990374ea3740ad"/>
      <w:bookmarkEnd w:id="100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人の忌み：厳しく戒めるべきこと</w:t>
      </w:r>
      <w:bookmarkEnd w:id="101"/>
    </w:p>
    <w:p>
      <w:pPr>
        <w:pStyle w:val="BookFirst"/>
        <w:overflowPunct w:val="1"/>
      </w:pPr>
      <w:bookmarkStart w:id="102" w:name="bf8ad2e9802e2ab5168a9cfcc06e784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182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179</w:t>
      </w:r>
      <w:bookmarkEnd w:id="102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438"/>
        <w:gridCol w:w="2438"/>
      </w:tblGrid>
      <w:tr>
        <w:trPr>
          <w:cantSplit/>
          <w:tblHeader/>
        </w:trPr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bookmarkStart w:id="103" w:name="bc0b6d5773c307d5587b6a817a5bf98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時期・条件</w:t>
            </w:r>
          </w:p>
        </w:tc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原書の記述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怒りを鬱積させている時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激怒は肝を傷める。禁を犯すと必ず病にかかる。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遠出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性交の後に百里を旅する者は病み、百里を旅した後に性交する者は死ぬ。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酔っている時や満腹の時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酔っている時や満腹の時に性交すると、五臓が乱れる。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空腹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禁を犯すと元神を傷める。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病後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禁を犯すと病状が変わり、再発する。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妊娠中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胎児を傷める。そのため、妊娠後はすぐに寝床を分け、欲を断つべきである。まず胎教の訓戒を厳守することになり、また流産の心配や、子の胎毒・胎瘁（胎内に由来するとされた病や衰弱）、危険な発疹・痘瘡、遊風（移動性の皮膚症状）、驚癇（けいれん）、牙疳（口や歯ぐきの潰瘍性の病）などを避けられる。さらに、生まれる子が男なら必ず端正で正しく、女なら必ず貞淑で静かに落ち着き、自然と淫らな振る舞いをしないという。</w:t>
            </w:r>
            <w:bookmarkEnd w:id="103"/>
          </w:p>
        </w:tc>
      </w:tr>
    </w:tbl>
    <w:p>
      <w:pPr>
        <w:pStyle w:val="Heading2"/>
        <w:pageBreakBefore/>
      </w:pPr>
      <w:bookmarkStart w:id="105" w:name="b9e8b72fa755e06c126a486d9cb7a8d"/>
      <w:bookmarkStart w:id="104" w:name="b48a6ee0634fe0011ea220e72dee804"/>
      <w:bookmarkEnd w:id="104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人の忌み（続き）</w:t>
      </w:r>
      <w:bookmarkEnd w:id="105"/>
    </w:p>
    <w:p>
      <w:pPr>
        <w:pStyle w:val="BookFirst"/>
        <w:overflowPunct w:val="1"/>
      </w:pPr>
      <w:bookmarkStart w:id="106" w:name="b231ad4414d37db82f3c5b9b125eed0"/>
      <w:r>
        <w:rPr>
          <w:rFonts w:ascii="Noto Serif" w:hAnsi="Noto Serif" w:eastAsia="Noto Serif CJK JP" w:cs="Noto Serif"/>
          <w:color w:val="000000"/>
          <w:lang w:val="ja-JP" w:eastAsia="ja-JP" w:bidi="ja-JP"/>
        </w:rPr>
        <w:t xml:space="preserve">PDF 183 / 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印刷頁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180</w:t>
      </w:r>
      <w:bookmarkEnd w:id="106"/>
    </w:p>
    <w:tbl>
      <w:tblPr>
        <w:tblW w:type="dxa" w:w="4876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  <w:tblCellMar>
          <w:top w:w="65" w:type="dxa"/>
          <w:left w:w="75" w:type="dxa"/>
          <w:bottom w:w="65" w:type="dxa"/>
          <w:right w:w="75" w:type="dxa"/>
        </w:tblCellMar>
      </w:tblPr>
      <w:tblGrid>
        <w:gridCol w:w="2438"/>
        <w:gridCol w:w="2438"/>
      </w:tblGrid>
      <w:tr>
        <w:trPr>
          <w:cantSplit/>
          <w:tblHeader/>
        </w:trPr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bookmarkStart w:id="107" w:name="b07965bd1ddc514bcb5aff6630322da"/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時期・条件</w:t>
            </w:r>
          </w:p>
        </w:tc>
        <w:tc>
          <w:tcPr>
            <w:tcW w:type="dxa" w:w="2438"/>
            <w:vAlign w:val="center"/>
            <w:shd w:fill="EEEEEE" w:val="clea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b w:val="1"/>
                <w:bCs w:val="1"/>
                <w:lang w:val="ja-JP" w:eastAsia="ja-JP" w:bidi="ja-JP"/>
              </w:rPr>
              <w:t>原書の記述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産後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十余日以内に禁を犯すと、女性は必ず死ぬ。百日以内なら必ず病にかかる。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月経が来ている時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禁を犯すと血麻証となり、男女ともに病にかかる。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竹の敷物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竹は性質が冷涼なので、禁を犯すと寒気の影響を受けやすい。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薄い掛け布団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禁を犯すと寒気が骨に入る。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窓の隙間から風が入る所は避けるべきである。夜更けに床に就く時は戒めるべきである。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性交を終えたばかりで、そばの乳児が泣いていても、すぐには乳を与えない。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性交後すぐに扇を使ったり、冷たい茶や水を飲んだりしない。体を冷やしすぎると、その場で死ぬこともあるからである。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一晩に二度行わない。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媚薬やみだらな薬を服用しない。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抑え込んで射精を止めない。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—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病気、腫れ物、痘瘡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十分に回復するまでは決して禁を犯してはならない。犯せば多くは必ず死ぬ。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眼病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治っていない時や治ったばかりの時に禁を犯すと、必ず失明する。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虚労証（衰弱・消耗の病）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養生によって元気に回復しても、なお一年は欲を断たねばならない。回復したと思って禁を犯せば、多くは必ず死ぬ。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筋や骨の損傷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治った後も百七十日か百八十日は戒める必要がある。百日を過ぎる前に禁を犯すと必ず死ぬ。百日を過ぎても必ず障害が残る。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過労、心配のしすぎ、暑さの受けすぎ、極度の恐怖、悲しみすぎ</w:t>
            </w:r>
          </w:p>
        </w:tc>
        <w:tc>
          <w:tcPr>
            <w:tcW w:type="dxa" w:w="2438"/>
            <w:vAlign w:val="center"/>
          </w:tcPr>
          <w:p>
            <w:pPr>
              <w:pStyle w:val="BookTable"/>
            </w:pPr>
            <w:r>
              <w:rPr>
                <w:rFonts w:ascii="Noto Serif CJK JP" w:hAnsi="Noto Serif CJK JP" w:eastAsia="Noto Serif CJK JP" w:cs="Noto Serif CJK JP"/>
                <w:color w:val="000000"/>
                <w:lang w:val="ja-JP" w:eastAsia="ja-JP" w:bidi="ja-JP"/>
              </w:rPr>
              <w:t>いずれも禁を犯してはならない。犯すと、軽ければ慢性の病となり、重ければその場で死ぬ。</w:t>
            </w:r>
            <w:bookmarkEnd w:id="107"/>
          </w:p>
        </w:tc>
      </w:tr>
    </w:tbl>
    <w:p>
      <w:pPr>
        <w:overflowPunct w:val="1"/>
      </w:pPr>
      <w:bookmarkStart w:id="108" w:name="b37201c0fc131f4deb41dfb7287af9e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「—」は原表で文が全幅にわたる箇所の空欄を示す。報いがないという意味ではない。</w:t>
      </w:r>
      <w:bookmarkEnd w:id="108"/>
    </w:p>
    <w:p>
      <w:pPr>
        <w:pStyle w:val="Heading3"/>
        <w:pageBreakBefore w:val="0"/>
      </w:pPr>
      <w:bookmarkStart w:id="110" w:name="b7567fde3e5b6a257024e57a7b04dc7"/>
      <w:bookmarkStart w:id="109" w:name="bcccedd532d4917a34ff23f78fdf5d8"/>
      <w:bookmarkEnd w:id="109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表に続く原書の条文</w:t>
      </w:r>
      <w:bookmarkEnd w:id="110"/>
    </w:p>
    <w:p>
      <w:pPr>
        <w:pStyle w:val="BookList"/>
        <w:numPr>
          <w:ilvl w:val="0"/>
          <w:numId w:val="1007"/>
        </w:numPr>
      </w:pPr>
      <w:bookmarkStart w:id="111" w:name="b86de65aac59871be713fa53bef9bc1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以上の毎月の戒期や「天の忌み」「人の忌み」などの日を除いても、各月には禁忌にまったく触れない日がなお六、七日ある。身を養う者なら、もともと一か月に多くても「三、四回」にとどめるので、病に侵されず、心身を強く保てる。また欲の少ない者には必ず男子が多く生まれ、子孫の身体も必ず丈夫になる。若くして新婚となった者は、しばしば欲にふけって身を損ない、生涯の夫婦の幸せを一時のうちにほとんど使い果たしてしまう。まことに悲しむべきことである。なぜ「戒期を慎んで守り」、身と命を保って、やがて互いを敬いながらともに老い、多くの子孫を得る喜びや、家族の楽しみを十分に味わおうとしないのか。</w:t>
      </w:r>
      <w:bookmarkEnd w:id="111"/>
    </w:p>
    <w:p>
      <w:pPr>
        <w:pStyle w:val="Heading2"/>
        <w:pageBreakBefore/>
      </w:pPr>
      <w:bookmarkStart w:id="113" w:name="b2a21b33dd32d5a5f3e3772e2044658"/>
      <w:bookmarkStart w:id="112" w:name="b90ee1be12928214889366434e380b1"/>
      <w:bookmarkEnd w:id="112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底本の異文と留保</w:t>
      </w:r>
      <w:bookmarkEnd w:id="113"/>
    </w:p>
    <w:p>
      <w:pPr>
        <w:pStyle w:val="BookList"/>
        <w:numPr>
          <w:ilvl w:val="0"/>
          <w:numId w:val="1009"/>
        </w:numPr>
      </w:pPr>
      <w:bookmarkStart w:id="114" w:name="b10820ccf2d81ba4f1485bc1db8cc87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七月一日と十月一日の戒由は、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PDF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にも照合したウェブ表にも「月晦」とある。ここでは「晦日」と訳し、常識に合わせて「朔日」に改めていない。一月二十五日などの「晦日」も表記どおり保持した。</w:t>
      </w:r>
    </w:p>
    <w:p>
      <w:pPr>
        <w:pStyle w:val="BookList"/>
        <w:numPr>
          <w:ilvl w:val="0"/>
          <w:numId w:val="1009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十二月六日は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PDF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では「天仓开月」、ウェブ表では「天仓开日」。本文は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PDF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に従って「開く月」とし、「開く日」との異文をここに記録する。</w:t>
      </w:r>
    </w:p>
    <w:p>
      <w:pPr>
        <w:pStyle w:val="BookList"/>
        <w:numPr>
          <w:ilvl w:val="0"/>
          <w:numId w:val="1009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陽錯日の正月は「申寅」。通常の干支の組合せに合わないが、「甲寅」などに推定修正しない。</w:t>
      </w:r>
    </w:p>
    <w:p>
      <w:pPr>
        <w:pStyle w:val="BookList"/>
        <w:numPr>
          <w:ilvl w:val="0"/>
          <w:numId w:val="1009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四月四日・八日の「失瘏」は意味を確定できないため原字を残す。「夭胎」は胎児の夭折と訳すが、前の語を流産などと断定しない。「血麻証」などの古い病名も現代医学の診断名とは同一視しない。</w:t>
      </w:r>
    </w:p>
    <w:p>
      <w:pPr>
        <w:pStyle w:val="BookList"/>
        <w:numPr>
          <w:ilvl w:val="0"/>
          <w:numId w:val="1009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明示された月日群は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216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組で、さらに十二月上旬の戊の日という独立条件がある。底本の「毎年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225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日」という総数はそのまま訳し、差を埋めるために日付を創作しない。閏月に関する原注も保持した。</w:t>
      </w:r>
    </w:p>
    <w:p>
      <w:pPr>
        <w:pStyle w:val="BookList"/>
        <w:numPr>
          <w:ilvl w:val="0"/>
          <w:numId w:val="1009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六月十九日の「涅槃（成道日）」など、底本内部で並記された概念はどちらも残す。他の宗教暦を根拠に本文を置き換えていない。</w:t>
      </w:r>
      <w:bookmarkEnd w:id="114"/>
    </w:p>
    <w:p>
      <w:pPr>
        <w:pStyle w:val="BookFirst"/>
        <w:overflowPunct w:val="1"/>
      </w:pPr>
      <w:bookmarkStart w:id="115" w:name="bcb98976a162aa238112a40f6b82cd3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本補訳は翻訳担当による照合、別担当の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AI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による全体の内容審査、および修正箇所の確認を経ている。人間の専門家による監修ではない。上記の底本の異文と留保は引き続き適用される。</w:t>
      </w:r>
      <w:bookmarkEnd w:id="115"/>
    </w:p>
    <w:p>
      <w:pPr>
        <w:pStyle w:val="Heading2"/>
        <w:pageBreakBefore/>
      </w:pPr>
      <w:bookmarkStart w:id="117" w:name="bf2539ec7111b8a675467c30d0655e9"/>
      <w:bookmarkStart w:id="116" w:name="be82f2d2d9628512007554dd7e6aea3"/>
      <w:bookmarkEnd w:id="116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出典</w:t>
      </w:r>
      <w:bookmarkEnd w:id="117"/>
    </w:p>
    <w:p>
      <w:pPr>
        <w:pStyle w:val="BookList"/>
        <w:numPr>
          <w:ilvl w:val="0"/>
          <w:numId w:val="1011"/>
        </w:numPr>
      </w:pPr>
      <w:bookmarkStart w:id="118" w:name="b430d9069369b6dc2ba9e8d8dbb6a9e"/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>翻訳底本（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PDF 168–184</w:t>
      </w: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頁）: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https://www.xuefovip.com/pdf/%E5%AF%BF%E5%BA%B7%E5%AE%9D%E9%89%B4%EF%BC%88%E7%99%BD%E8%AF%9D%E7%89%88%EF%BC%89.pdf</w:t>
      </w:r>
    </w:p>
    <w:p>
      <w:pPr>
        <w:pStyle w:val="BookList"/>
        <w:numPr>
          <w:ilvl w:val="0"/>
          <w:numId w:val="1011"/>
        </w:numPr>
      </w:pPr>
      <w:r>
        <w:rPr>
          <w:rFonts w:ascii="Noto Serif CJK JP" w:hAnsi="Noto Serif CJK JP" w:eastAsia="Noto Serif CJK JP" w:cs="Noto Serif CJK JP"/>
          <w:color w:val="000000"/>
          <w:lang w:val="ja-JP" w:eastAsia="ja-JP" w:bidi="ja-JP"/>
        </w:rPr>
        <w:t xml:space="preserve">異文照合用のウェブ表: </w:t>
      </w:r>
      <w:r>
        <w:rPr>
          <w:rFonts w:ascii="Noto Serif" w:hAnsi="Noto Serif" w:eastAsia="Noto Serif CJK JP" w:cs="Noto Serif"/>
          <w:color w:val="000000"/>
          <w:lang w:val="ja-JP" w:eastAsia="ja-JP" w:bidi="ja-JP"/>
        </w:rPr>
        <w:t>https://www.jiexieyin.cn/post/1553.html</w:t>
      </w:r>
      <w:bookmarkEnd w:id="118"/>
    </w:p>
    <w:sectPr w:rsidR="00FC693F" w:rsidRPr="0006063C" w:rsidSect="00034616">
      <w:headerReference w:type="default" r:id="rId9"/>
      <w:footerReference w:type="default" r:id="rId10"/>
      <w:pgSz w:w="7257" w:h="10318"/>
      <w:pgMar w:top="1134" w:right="964" w:bottom="1191" w:left="1247" w:header="510" w:footer="567" w:gutter="170"/>
      <w:cols w:space="720"/>
      <w:titlePg/>
      <w:docGrid w:linePitch="360" w:type="default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oto Serif">
    <w:embedRegular r:id="rIdEmbed1" w:fontKey="{87507F7A-6664-555A-BAF6-E779837A4820}" w:subsetted="false"/>
    <w:embedBold r:id="rIdEmbed2" w:fontKey="{8973BBA9-2D7A-569B-9D32-DD6F447B84CA}" w:subsetted="false"/>
    <w:embedItalic r:id="rIdEmbed3" w:fontKey="{5A4BA43F-897C-5E8C-87F4-EEE877A6E128}" w:subsetted="false"/>
    <w:embedBoldItalic r:id="rIdEmbed4" w:fontKey="{CA56F28F-D9EC-5411-9292-97BF4C0E3D46}" w:subsetted="false"/>
  </w:font>
  <w:font w:name="Noto Serif CJK JP">
    <w:embedRegular r:id="rIdEmbed5" w:fontKey="{ABDD2DC1-7832-52AF-856F-4F2F0A0EF0F7}" w:subsetted="false"/>
    <w:embedBold r:id="rIdEmbed6" w:fontKey="{8533F982-5E0D-5F1A-BD62-33134EBFDC22}" w:subsetted="fals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ookSmall"/>
    </w:pPr>
    <w:r>
      <w:fldChar w:fldCharType="begin"/>
    </w:r>
    <w:r>
      <w:instrText xml:space="preserve"> PAGE </w:instrText>
    </w:r>
    <w:r>
      <w:fldChar w:fldCharType="separate"/>
    </w:r>
    <w:r>
      <w:rPr>
        <w:rFonts w:ascii="Noto Serif" w:hAnsi="Noto Serif" w:eastAsia="Noto Serif CJK JP" w:cs="Noto Serif"/>
        <w:color w:val="000000"/>
        <w:sz w:val="17"/>
        <w:szCs w:val="17"/>
        <w:lang w:val="ja-JP" w:eastAsia="ja-JP" w:bidi="ja-JP"/>
        <w:rStyle w:val="GeneratedPageReference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ookSmall"/>
    </w:pPr>
    <w:r>
      <w:rPr>
        <w:rFonts w:ascii="Noto Serif CJK JP" w:hAnsi="Noto Serif CJK JP" w:eastAsia="Noto Serif CJK JP" w:cs="Noto Serif CJK JP"/>
        <w:color w:val="000000"/>
        <w:sz w:val="17"/>
        <w:szCs w:val="17"/>
        <w:lang w:val="ja-JP" w:eastAsia="ja-JP" w:bidi="ja-JP"/>
      </w:rPr>
      <w:t>独立した外部参考補表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1000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01">
    <w:abstractNumId w:val="1000"/>
  </w:num>
  <w:abstractNum w:abstractNumId="1002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03">
    <w:abstractNumId w:val="1002"/>
  </w:num>
  <w:abstractNum w:abstractNumId="1004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05">
    <w:abstractNumId w:val="1004"/>
  </w:num>
  <w:abstractNum w:abstractNumId="1006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07">
    <w:abstractNumId w:val="1006"/>
  </w:num>
  <w:abstractNum w:abstractNumId="1008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09">
    <w:abstractNumId w:val="1008"/>
  </w:num>
  <w:abstractNum w:abstractNumId="1010">
    <w:multiLevelType w:val="singleLevel"/>
    <w:lvl w:ilvl="0">
      <w:start w:val="1"/>
      <w:numFmt w:val="bullet"/>
      <w:lvlText w:val="•"/>
      <w:lvlJc w:val="left"/>
      <w:pPr>
        <w:tabs>
          <w:tab w:val="num" w:pos="340"/>
        </w:tabs>
        <w:ind w:left="340" w:hanging="250"/>
      </w:pPr>
    </w:lvl>
  </w:abstractNum>
  <w:num w:numId="1011">
    <w:abstractNumId w:val="1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doNotExpandShiftReturn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  <w:updateFields w:val="true"/>
  <w:embedTrueTypeFonts/>
  <w:saveSubsetFonts w:val="0"/>
  <w:autoHyphenation w:val="0"/>
  <w:consecutiveHyphenLimit w:val="2"/>
  <w:hyphenationZone w:val="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oto Serif CJK JP" w:hAnsi="Noto Serif CJK JP" w:eastAsia="Noto Serif CJK JP" w:cs="Noto Serif CJK JP"/>
        <w:sz w:val="21"/>
        <w:szCs w:val="21"/>
        <w:lang w:val="ja-JP" w:eastAsia="ja-JP" w:bidi="ja-JP"/>
        <w:color w:val="000000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before="0" w:after="0" w:line="360" w:lineRule="atLeast"/>
      <w:ind w:firstLine="210"/>
      <w:jc w:val="both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1"/>
      <w:szCs w:val="21"/>
      <w:b w:val="0"/>
      <w:bCs w:val="0"/>
      <w:lang w:val="ja-JP" w:eastAsia="ja-JP" w:bidi="ja-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widowControl/>
      <w:spacing w:before="600" w:after="480" w:line="660" w:lineRule="atLeast"/>
      <w:ind w:firstLine="0"/>
      <w:jc w:val="center"/>
      <w:outlineLvl w:val="0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b w:val="1"/>
      <w:bCs w:val="1"/>
      <w:color w:val="000000"/>
      <w:sz w:val="46"/>
      <w:szCs w:val="46"/>
      <w:lang w:val="ja-JP" w:eastAsia="ja-JP" w:bidi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widowControl/>
      <w:spacing w:before="520" w:after="420" w:line="540" w:lineRule="atLeast"/>
      <w:ind w:firstLine="0"/>
      <w:jc w:val="center"/>
      <w:outlineLvl w:val="1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b w:val="1"/>
      <w:bCs w:val="1"/>
      <w:color w:val="000000"/>
      <w:sz w:val="36"/>
      <w:szCs w:val="36"/>
      <w:lang w:val="ja-JP" w:eastAsia="ja-JP" w:bidi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 w:val="0"/>
      <w:widowControl/>
      <w:spacing w:before="300" w:after="140" w:line="380" w:lineRule="atLeast"/>
      <w:ind w:firstLine="0"/>
      <w:jc w:val="left"/>
      <w:outlineLvl w:val="2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b w:val="1"/>
      <w:bCs w:val="1"/>
      <w:color w:val="000000"/>
      <w:sz w:val="24"/>
      <w:szCs w:val="24"/>
      <w:lang w:val="ja-JP" w:eastAsia="ja-JP" w:bidi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 w:val="0"/>
      <w:widowControl/>
      <w:spacing w:before="220" w:after="100" w:line="360" w:lineRule="atLeast"/>
      <w:ind w:firstLine="0"/>
      <w:jc w:val="left"/>
      <w:outlineLvl w:val="3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b w:val="1"/>
      <w:bCs w:val="1"/>
      <w:i/>
      <w:iCs/>
      <w:color w:val="000000"/>
      <w:sz w:val="21"/>
      <w:szCs w:val="21"/>
      <w:lang w:val="ja-JP" w:eastAsia="ja-JP" w:bidi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keepLines w:val="0"/>
      <w:widowControl/>
      <w:spacing w:after="520" w:line="760" w:lineRule="atLeast" w:before="1400"/>
      <w:ind w:firstLine="0"/>
      <w:contextualSpacing w:val="0"/>
      <w:jc w:val="center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kern w:val="28"/>
      <w:sz w:val="54"/>
      <w:szCs w:val="54"/>
      <w:b w:val="0"/>
      <w:bCs w:val="0"/>
      <w:lang w:val="ja-JP" w:eastAsia="ja-JP" w:bidi="ja-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color w:val="00000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color w:val="00000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color w:val="00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okFirst">
    <w:name w:val="Book First"/>
    <w:basedOn w:val="Normal"/>
    <w:pPr>
      <w:keepNext w:val="0"/>
      <w:keepLines w:val="0"/>
      <w:widowControl/>
      <w:spacing w:before="0" w:after="0" w:line="360" w:lineRule="atLeast"/>
      <w:ind w:firstLine="0"/>
      <w:jc w:val="both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1"/>
      <w:szCs w:val="21"/>
      <w:b w:val="0"/>
      <w:bCs w:val="0"/>
      <w:lang w:val="ja-JP" w:eastAsia="ja-JP" w:bidi="ja-JP"/>
    </w:rPr>
  </w:style>
  <w:style w:type="paragraph" w:customStyle="1" w:styleId="BookAuthor">
    <w:name w:val="Book Author"/>
    <w:basedOn w:val="Normal"/>
    <w:pPr>
      <w:keepNext w:val="0"/>
      <w:keepLines w:val="0"/>
      <w:widowControl/>
      <w:spacing w:before="320" w:after="0" w:line="400" w:lineRule="atLeast"/>
      <w:ind w:firstLine="0"/>
      <w:jc w:val="center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6"/>
      <w:szCs w:val="26"/>
      <w:b w:val="0"/>
      <w:bCs w:val="0"/>
      <w:lang w:val="ja-JP" w:eastAsia="ja-JP" w:bidi="ja-JP"/>
    </w:rPr>
  </w:style>
  <w:style w:type="paragraph" w:customStyle="1" w:styleId="BookSourceTitle">
    <w:name w:val="Book Source Title"/>
    <w:basedOn w:val="Normal"/>
    <w:pPr>
      <w:keepNext/>
      <w:keepLines w:val="0"/>
      <w:widowControl/>
      <w:spacing w:before="300" w:after="400" w:line="620" w:lineRule="atLeast"/>
      <w:ind w:firstLine="0"/>
      <w:jc w:val="center"/>
      <w:contextualSpacing w:val="0"/>
      <w:suppressAutoHyphens w:val="1"/>
      <w:kinsoku w:val="1"/>
      <w:wordWrap w:val="0"/>
      <w:overflowPunct w:val="1"/>
      <w:outlineLvl w:val="9"/>
    </w:pPr>
    <w:rPr>
      <w:rFonts w:ascii="Noto Serif CJK JP" w:hAnsi="Noto Serif CJK JP" w:eastAsia="Noto Serif CJK JP" w:cs="Noto Serif CJK JP"/>
      <w:color w:val="000000"/>
      <w:sz w:val="44"/>
      <w:szCs w:val="44"/>
      <w:b w:val="1"/>
      <w:bCs w:val="1"/>
      <w:lang w:val="ja-JP" w:eastAsia="ja-JP" w:bidi="ja-JP"/>
    </w:rPr>
  </w:style>
  <w:style w:type="paragraph" w:customStyle="1" w:styleId="BookSubtitle">
    <w:name w:val="Book Subtitle"/>
    <w:basedOn w:val="Normal"/>
    <w:pPr>
      <w:keepNext/>
      <w:keepLines w:val="0"/>
      <w:widowControl/>
      <w:spacing w:before="60" w:after="240" w:line="420" w:lineRule="atLeast"/>
      <w:ind w:firstLine="0"/>
      <w:jc w:val="center"/>
      <w:contextualSpacing w:val="0"/>
      <w:suppressAutoHyphens w:val="1"/>
      <w:kinsoku w:val="1"/>
      <w:wordWrap w:val="0"/>
      <w:overflowPunct w:val="1"/>
      <w:outlineLvl w:val="9"/>
    </w:pPr>
    <w:rPr>
      <w:rFonts w:ascii="Noto Serif CJK JP" w:hAnsi="Noto Serif CJK JP" w:eastAsia="Noto Serif CJK JP" w:cs="Noto Serif CJK JP"/>
      <w:color w:val="000000"/>
      <w:sz w:val="26"/>
      <w:szCs w:val="26"/>
      <w:b w:val="0"/>
      <w:bCs w:val="0"/>
      <w:lang w:val="ja-JP" w:eastAsia="ja-JP" w:bidi="ja-JP"/>
    </w:rPr>
  </w:style>
  <w:style w:type="paragraph" w:customStyle="1" w:styleId="BookContentsHeading">
    <w:name w:val="Book Contents Heading"/>
    <w:basedOn w:val="Normal"/>
    <w:pPr>
      <w:keepNext/>
      <w:keepLines w:val="0"/>
      <w:widowControl/>
      <w:spacing w:before="400" w:after="400" w:line="560" w:lineRule="atLeast"/>
      <w:ind w:firstLine="0"/>
      <w:jc w:val="center"/>
      <w:contextualSpacing w:val="0"/>
      <w:suppressAutoHyphens w:val="1"/>
      <w:kinsoku w:val="1"/>
      <w:wordWrap w:val="0"/>
      <w:overflowPunct w:val="1"/>
      <w:outlineLvl w:val="9"/>
    </w:pPr>
    <w:rPr>
      <w:rFonts w:ascii="Noto Serif CJK JP" w:hAnsi="Noto Serif CJK JP" w:eastAsia="Noto Serif CJK JP" w:cs="Noto Serif CJK JP"/>
      <w:color w:val="000000"/>
      <w:sz w:val="36"/>
      <w:szCs w:val="36"/>
      <w:b w:val="1"/>
      <w:bCs w:val="1"/>
      <w:lang w:val="ja-JP" w:eastAsia="ja-JP" w:bidi="ja-JP"/>
    </w:rPr>
  </w:style>
  <w:style w:type="paragraph" w:customStyle="1" w:styleId="TOC1">
    <w:name w:val="TOC 1"/>
    <w:basedOn w:val="Normal"/>
    <w:pPr>
      <w:keepNext w:val="0"/>
      <w:keepLines/>
      <w:widowControl/>
      <w:spacing w:before="100" w:after="100" w:line="300" w:lineRule="atLeast"/>
      <w:ind w:firstLine="0" w:left="0" w:right="0"/>
      <w:jc w:val="left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1"/>
      <w:szCs w:val="21"/>
      <w:b w:val="1"/>
      <w:bCs w:val="1"/>
      <w:lang w:val="ja-JP" w:eastAsia="ja-JP" w:bidi="ja-JP"/>
    </w:rPr>
  </w:style>
  <w:style w:type="paragraph" w:customStyle="1" w:styleId="TOC2">
    <w:name w:val="TOC 2"/>
    <w:basedOn w:val="Normal"/>
    <w:pPr>
      <w:keepNext w:val="0"/>
      <w:keepLines/>
      <w:widowControl/>
      <w:spacing w:before="0" w:after="100" w:line="300" w:lineRule="atLeast"/>
      <w:ind w:firstLine="0" w:left="200" w:right="0"/>
      <w:jc w:val="left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1"/>
      <w:szCs w:val="21"/>
      <w:b w:val="0"/>
      <w:bCs w:val="0"/>
      <w:lang w:val="ja-JP" w:eastAsia="ja-JP" w:bidi="ja-JP"/>
    </w:rPr>
  </w:style>
  <w:style w:type="paragraph" w:customStyle="1" w:styleId="BookSourceContents">
    <w:name w:val="Book Source Contents"/>
    <w:basedOn w:val="Normal"/>
    <w:pPr>
      <w:keepNext w:val="0"/>
      <w:keepLines/>
      <w:widowControl/>
      <w:spacing w:before="0" w:after="120" w:line="360" w:lineRule="atLeast"/>
      <w:ind w:firstLine="0"/>
      <w:jc w:val="left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0"/>
      <w:szCs w:val="20"/>
      <w:b w:val="0"/>
      <w:bCs w:val="0"/>
      <w:lang w:val="ja-JP" w:eastAsia="ja-JP" w:bidi="ja-JP"/>
    </w:rPr>
  </w:style>
  <w:style w:type="paragraph" w:customStyle="1" w:styleId="BookQuote">
    <w:name w:val="Book Quote"/>
    <w:basedOn w:val="Normal"/>
    <w:pPr>
      <w:keepNext w:val="0"/>
      <w:keepLines w:val="0"/>
      <w:widowControl/>
      <w:spacing w:before="100" w:after="100" w:line="360" w:lineRule="atLeast"/>
      <w:ind w:firstLine="0" w:left="280" w:right="280"/>
      <w:jc w:val="left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1"/>
      <w:szCs w:val="21"/>
      <w:b w:val="0"/>
      <w:bCs w:val="0"/>
      <w:lang w:val="ja-JP" w:eastAsia="ja-JP" w:bidi="ja-JP"/>
    </w:rPr>
  </w:style>
  <w:style w:type="paragraph" w:customStyle="1" w:styleId="BookNote">
    <w:name w:val="Book Note"/>
    <w:basedOn w:val="Normal"/>
    <w:pPr>
      <w:keepNext w:val="0"/>
      <w:keepLines w:val="0"/>
      <w:widowControl/>
      <w:spacing w:before="0" w:after="140" w:line="330" w:lineRule="atLeast"/>
      <w:ind w:firstLine="0"/>
      <w:jc w:val="left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19"/>
      <w:szCs w:val="19"/>
      <w:b w:val="0"/>
      <w:bCs w:val="0"/>
      <w:lang w:val="ja-JP" w:eastAsia="ja-JP" w:bidi="ja-JP"/>
    </w:rPr>
  </w:style>
  <w:style w:type="paragraph" w:customStyle="1" w:styleId="BookList">
    <w:name w:val="Book List"/>
    <w:basedOn w:val="Normal"/>
    <w:pPr>
      <w:keepNext w:val="0"/>
      <w:keepLines w:val="0"/>
      <w:widowControl/>
      <w:spacing w:before="0" w:after="100" w:line="360" w:lineRule="atLeast"/>
      <w:ind w:firstLine="0"/>
      <w:jc w:val="left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1"/>
      <w:szCs w:val="21"/>
      <w:b w:val="0"/>
      <w:bCs w:val="0"/>
      <w:lang w:val="ja-JP" w:eastAsia="ja-JP" w:bidi="ja-JP"/>
    </w:rPr>
  </w:style>
  <w:style w:type="paragraph" w:customStyle="1" w:styleId="BookTable">
    <w:name w:val="Book Table"/>
    <w:basedOn w:val="Normal"/>
    <w:pPr>
      <w:keepNext w:val="0"/>
      <w:keepLines w:val="0"/>
      <w:widowControl/>
      <w:spacing w:before="0" w:after="60" w:line="317" w:lineRule="atLeast"/>
      <w:ind w:firstLine="0"/>
      <w:jc w:val="left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18"/>
      <w:szCs w:val="18"/>
      <w:b w:val="0"/>
      <w:bCs w:val="0"/>
      <w:lang w:val="ja-JP" w:eastAsia="ja-JP" w:bidi="ja-JP"/>
    </w:rPr>
  </w:style>
  <w:style w:type="paragraph" w:customStyle="1" w:styleId="BookVerse">
    <w:name w:val="Book Verse"/>
    <w:basedOn w:val="Normal"/>
    <w:pPr>
      <w:keepNext w:val="0"/>
      <w:keepLines w:val="0"/>
      <w:widowControl/>
      <w:spacing w:before="0" w:after="40" w:line="360" w:lineRule="atLeast"/>
      <w:ind w:firstLine="0"/>
      <w:jc w:val="center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1"/>
      <w:szCs w:val="21"/>
      <w:b w:val="0"/>
      <w:bCs w:val="0"/>
      <w:lang w:val="ja-JP" w:eastAsia="ja-JP" w:bidi="ja-JP"/>
    </w:rPr>
  </w:style>
  <w:style w:type="paragraph" w:customStyle="1" w:styleId="BookSmall">
    <w:name w:val="Book Small"/>
    <w:basedOn w:val="Normal"/>
    <w:pPr>
      <w:keepNext w:val="0"/>
      <w:keepLines w:val="0"/>
      <w:widowControl/>
      <w:spacing w:before="0" w:after="0" w:line="220" w:lineRule="atLeast"/>
      <w:ind w:firstLine="0"/>
      <w:jc w:val="center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17"/>
      <w:szCs w:val="17"/>
      <w:b w:val="0"/>
      <w:bCs w:val="0"/>
      <w:lang w:val="ja-JP" w:eastAsia="ja-JP" w:bidi="ja-JP"/>
    </w:rPr>
  </w:style>
  <w:style w:type="paragraph" w:customStyle="1" w:styleId="BookBlank">
    <w:name w:val="Book Blank"/>
    <w:basedOn w:val="Normal"/>
    <w:pPr>
      <w:keepNext w:val="0"/>
      <w:keepLines w:val="0"/>
      <w:widowControl/>
      <w:spacing w:before="0" w:after="0" w:line="20" w:lineRule="atLeast"/>
      <w:ind w:firstLine="0"/>
      <w:jc w:val="left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"/>
      <w:szCs w:val="2"/>
      <w:b w:val="0"/>
      <w:bCs w:val="0"/>
      <w:lang w:val="ja-JP" w:eastAsia="ja-JP" w:bidi="ja-JP"/>
    </w:rPr>
  </w:style>
  <w:style w:type="paragraph" w:customStyle="1" w:styleId="BookPlateText">
    <w:name w:val="Book Plate Text"/>
    <w:basedOn w:val="Normal"/>
    <w:pPr>
      <w:keepNext w:val="0"/>
      <w:keepLines w:val="0"/>
      <w:widowControl/>
      <w:spacing w:before="0" w:after="100" w:line="284" w:lineRule="atLeast"/>
      <w:ind w:firstLine="0"/>
      <w:jc w:val="both"/>
      <w:contextualSpacing w:val="0"/>
      <w:suppressAutoHyphens w:val="1"/>
      <w:kinsoku w:val="1"/>
      <w:wordWrap w:val="0"/>
      <w:overflowPunct w:val="1"/>
    </w:pPr>
    <w:rPr>
      <w:rFonts w:ascii="Noto Serif CJK JP" w:hAnsi="Noto Serif CJK JP" w:eastAsia="Noto Serif CJK JP" w:cs="Noto Serif CJK JP"/>
      <w:color w:val="000000"/>
      <w:sz w:val="20"/>
      <w:szCs w:val="20"/>
      <w:b w:val="0"/>
      <w:bCs w:val="0"/>
      <w:lang w:val="ja-JP" w:eastAsia="ja-JP" w:bidi="ja-JP"/>
    </w:rPr>
  </w:style>
  <w:style w:type="character" w:customStyle="1" w:styleId="GeneratedPageReference">
    <w:name w:val="GeneratedPageReference"/>
    <w:rPr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Embed1" Type="http://schemas.openxmlformats.org/officeDocument/2006/relationships/font" Target="fonts/font1.odttf"/><Relationship Id="rIdEmbed2" Type="http://schemas.openxmlformats.org/officeDocument/2006/relationships/font" Target="fonts/font2.odttf"/><Relationship Id="rIdEmbed3" Type="http://schemas.openxmlformats.org/officeDocument/2006/relationships/font" Target="fonts/font3.odttf"/><Relationship Id="rIdEmbed4" Type="http://schemas.openxmlformats.org/officeDocument/2006/relationships/font" Target="fonts/font4.odttf"/><Relationship Id="rIdEmbed5" Type="http://schemas.openxmlformats.org/officeDocument/2006/relationships/font" Target="fonts/font5.odttf"/><Relationship Id="rIdEmbed6" Type="http://schemas.openxmlformats.org/officeDocument/2006/relationships/font" Target="fonts/font6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身と命を保つための戒期、および天・地・人の忌み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