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  <Default Extension="odttf" ContentType="application/vnd.openxmlformats-officedocument.obfuscatedFont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Noto Serif" w:hAnsi="Noto Serif" w:eastAsia="Noto Serif CJK SC" w:cs="Noto Serif"/>
          <w:color w:val="000000"/>
          <w:lang w:val="pt-BR" w:eastAsia="zh-CN" w:bidi="pt-BR"/>
        </w:rPr>
        <w:t>Suplemento de referência: períodos de abstinência para preservar a vida e interdições do Céu, da Terra e da pessoa</w:t>
      </w:r>
    </w:p>
    <w:p>
      <w:pPr>
        <w:pStyle w:val="BookContentsHeading"/>
        <w:pageBreakBefore/>
      </w:pPr>
      <w:r>
        <w:rPr>
          <w:rFonts w:ascii="Noto Serif" w:hAnsi="Noto Serif" w:eastAsia="Noto Serif CJK SC" w:cs="Noto Serif"/>
          <w:color w:val="000000"/>
          <w:lang w:val="pt-BR" w:eastAsia="zh-CN" w:bidi="pt-BR"/>
        </w:rPr>
        <w:t>Sumário</w:t>
      </w:r>
      <w:bookmarkStart w:id="1" w:name="b083efcbe7e386222e9da557352ad25"/>
      <w:bookmarkEnd w:id="1"/>
      <w:r>
        <w:fldChar w:fldCharType="begin"/>
      </w:r>
      <w:r>
        <w:instrText xml:space="preserve"> TOC \o "1-2" \h \z </w:instrText>
      </w:r>
      <w:r>
        <w:fldChar w:fldCharType="separate"/>
      </w:r>
    </w:p>
    <w:p>
      <w:pPr>
        <w:pStyle w:val="TOC2"/>
        <w:tabs>
          <w:tab w:pos="5516" w:val="right" w:leader="dot"/>
        </w:tabs>
        <w:ind w:right="560"/>
      </w:pPr>
      <w:hyperlink w:anchor="bb63fb5eb059124e7de23482bec2372" w:history="1">
        <w:r>
          <w:rPr>
            <w:rFonts w:ascii="Noto Serif" w:hAnsi="Noto Serif" w:eastAsia="Noto Serif CJK SC" w:cs="Noto Serif"/>
            <w:color w:val="000000"/>
            <w:lang w:val="pt-BR" w:eastAsia="zh-CN" w:bidi="pt-BR"/>
          </w:rPr>
          <w:t>Fonte e modo de leitura</w:t>
        </w:r>
      </w:hyperlink>
      <w:r>
        <w:tab/>
      </w:r>
      <w:r>
        <w:fldChar w:fldCharType="begin"/>
      </w:r>
      <w:r>
        <w:instrText xml:space="preserve"> PAGEREF bb63fb5eb059124e7de23482bec2372 \h </w:instrText>
      </w:r>
      <w:r>
        <w:fldChar w:fldCharType="separate"/>
      </w:r>
      <w:r>
        <w:rPr>
          <w:rFonts w:ascii="Noto Serif" w:hAnsi="Noto Serif" w:eastAsia="Noto Serif CJK SC" w:cs="Noto Serif"/>
          <w:color w:val="000000"/>
          <w:sz w:val="20"/>
          <w:szCs w:val="20"/>
          <w:lang w:val="pt-BR" w:eastAsia="zh-CN" w:bidi="pt-BR"/>
          <w:rStyle w:val="GeneratedPageReference"/>
        </w:rPr>
        <w:t>4</w:t>
      </w:r>
      <w:r>
        <w:fldChar w:fldCharType="end"/>
      </w:r>
    </w:p>
    <w:p>
      <w:pPr>
        <w:pStyle w:val="TOC2"/>
        <w:tabs>
          <w:tab w:pos="5516" w:val="right" w:leader="dot"/>
        </w:tabs>
        <w:ind w:right="560"/>
      </w:pPr>
      <w:hyperlink w:anchor="b16a4b4a7092276dbf3569d0752a1af" w:history="1">
        <w:r>
          <w:rPr>
            <w:rFonts w:ascii="Noto Serif" w:hAnsi="Noto Serif" w:eastAsia="Noto Serif CJK SC" w:cs="Noto Serif"/>
            <w:color w:val="000000"/>
            <w:lang w:val="pt-BR" w:eastAsia="zh-CN" w:bidi="pt-BR"/>
          </w:rPr>
          <w:t>1º mês lunar</w:t>
        </w:r>
      </w:hyperlink>
      <w:r>
        <w:tab/>
      </w:r>
      <w:r>
        <w:fldChar w:fldCharType="begin"/>
      </w:r>
      <w:r>
        <w:instrText xml:space="preserve"> PAGEREF b16a4b4a7092276dbf3569d0752a1af \h </w:instrText>
      </w:r>
      <w:r>
        <w:fldChar w:fldCharType="separate"/>
      </w:r>
      <w:r>
        <w:rPr>
          <w:rFonts w:ascii="Noto Serif" w:hAnsi="Noto Serif" w:eastAsia="Noto Serif CJK SC" w:cs="Noto Serif"/>
          <w:color w:val="000000"/>
          <w:sz w:val="20"/>
          <w:szCs w:val="20"/>
          <w:lang w:val="pt-BR" w:eastAsia="zh-CN" w:bidi="pt-BR"/>
          <w:rStyle w:val="GeneratedPageReference"/>
        </w:rPr>
        <w:t>6</w:t>
      </w:r>
      <w:r>
        <w:fldChar w:fldCharType="end"/>
      </w:r>
    </w:p>
    <w:p>
      <w:pPr>
        <w:pStyle w:val="TOC2"/>
        <w:tabs>
          <w:tab w:pos="5516" w:val="right" w:leader="dot"/>
        </w:tabs>
        <w:ind w:right="560"/>
      </w:pPr>
      <w:hyperlink w:anchor="b2a1b8915f8fed02521112855e7be63" w:history="1">
        <w:r>
          <w:rPr>
            <w:rFonts w:ascii="Noto Serif" w:hAnsi="Noto Serif" w:eastAsia="Noto Serif CJK SC" w:cs="Noto Serif"/>
            <w:color w:val="000000"/>
            <w:lang w:val="pt-BR" w:eastAsia="zh-CN" w:bidi="pt-BR"/>
          </w:rPr>
          <w:t>2º mês lunar</w:t>
        </w:r>
      </w:hyperlink>
      <w:r>
        <w:tab/>
      </w:r>
      <w:r>
        <w:fldChar w:fldCharType="begin"/>
      </w:r>
      <w:r>
        <w:instrText xml:space="preserve"> PAGEREF b2a1b8915f8fed02521112855e7be63 \h </w:instrText>
      </w:r>
      <w:r>
        <w:fldChar w:fldCharType="separate"/>
      </w:r>
      <w:r>
        <w:rPr>
          <w:rFonts w:ascii="Noto Serif" w:hAnsi="Noto Serif" w:eastAsia="Noto Serif CJK SC" w:cs="Noto Serif"/>
          <w:color w:val="000000"/>
          <w:sz w:val="20"/>
          <w:szCs w:val="20"/>
          <w:lang w:val="pt-BR" w:eastAsia="zh-CN" w:bidi="pt-BR"/>
          <w:rStyle w:val="GeneratedPageReference"/>
        </w:rPr>
        <w:t>10</w:t>
      </w:r>
      <w:r>
        <w:fldChar w:fldCharType="end"/>
      </w:r>
    </w:p>
    <w:p>
      <w:pPr>
        <w:pStyle w:val="TOC2"/>
        <w:tabs>
          <w:tab w:pos="5516" w:val="right" w:leader="dot"/>
        </w:tabs>
        <w:ind w:right="560"/>
      </w:pPr>
      <w:hyperlink w:anchor="b7ff686f45f1bc224304e2bf69cb7e5" w:history="1">
        <w:r>
          <w:rPr>
            <w:rFonts w:ascii="Noto Serif" w:hAnsi="Noto Serif" w:eastAsia="Noto Serif CJK SC" w:cs="Noto Serif"/>
            <w:color w:val="000000"/>
            <w:lang w:val="pt-BR" w:eastAsia="zh-CN" w:bidi="pt-BR"/>
          </w:rPr>
          <w:t>3º mês lunar</w:t>
        </w:r>
      </w:hyperlink>
      <w:r>
        <w:tab/>
      </w:r>
      <w:r>
        <w:fldChar w:fldCharType="begin"/>
      </w:r>
      <w:r>
        <w:instrText xml:space="preserve"> PAGEREF b7ff686f45f1bc224304e2bf69cb7e5 \h </w:instrText>
      </w:r>
      <w:r>
        <w:fldChar w:fldCharType="separate"/>
      </w:r>
      <w:r>
        <w:rPr>
          <w:rFonts w:ascii="Noto Serif" w:hAnsi="Noto Serif" w:eastAsia="Noto Serif CJK SC" w:cs="Noto Serif"/>
          <w:color w:val="000000"/>
          <w:sz w:val="20"/>
          <w:szCs w:val="20"/>
          <w:lang w:val="pt-BR" w:eastAsia="zh-CN" w:bidi="pt-BR"/>
          <w:rStyle w:val="GeneratedPageReference"/>
        </w:rPr>
        <w:t>13</w:t>
      </w:r>
      <w:r>
        <w:fldChar w:fldCharType="end"/>
      </w:r>
    </w:p>
    <w:p>
      <w:pPr>
        <w:pStyle w:val="TOC2"/>
        <w:tabs>
          <w:tab w:pos="5516" w:val="right" w:leader="dot"/>
        </w:tabs>
        <w:ind w:right="560"/>
      </w:pPr>
      <w:hyperlink w:anchor="bcd84157281a231dda28c207f3b8570" w:history="1">
        <w:r>
          <w:rPr>
            <w:rFonts w:ascii="Noto Serif" w:hAnsi="Noto Serif" w:eastAsia="Noto Serif CJK SC" w:cs="Noto Serif"/>
            <w:color w:val="000000"/>
            <w:lang w:val="pt-BR" w:eastAsia="zh-CN" w:bidi="pt-BR"/>
          </w:rPr>
          <w:t>4º mês lunar</w:t>
        </w:r>
      </w:hyperlink>
      <w:r>
        <w:tab/>
      </w:r>
      <w:r>
        <w:fldChar w:fldCharType="begin"/>
      </w:r>
      <w:r>
        <w:instrText xml:space="preserve"> PAGEREF bcd84157281a231dda28c207f3b8570 \h </w:instrText>
      </w:r>
      <w:r>
        <w:fldChar w:fldCharType="separate"/>
      </w:r>
      <w:r>
        <w:rPr>
          <w:rFonts w:ascii="Noto Serif" w:hAnsi="Noto Serif" w:eastAsia="Noto Serif CJK SC" w:cs="Noto Serif"/>
          <w:color w:val="000000"/>
          <w:sz w:val="20"/>
          <w:szCs w:val="20"/>
          <w:lang w:val="pt-BR" w:eastAsia="zh-CN" w:bidi="pt-BR"/>
          <w:rStyle w:val="GeneratedPageReference"/>
        </w:rPr>
        <w:t>16</w:t>
      </w:r>
      <w:r>
        <w:fldChar w:fldCharType="end"/>
      </w:r>
    </w:p>
    <w:p>
      <w:pPr>
        <w:pStyle w:val="TOC2"/>
        <w:tabs>
          <w:tab w:pos="5516" w:val="right" w:leader="dot"/>
        </w:tabs>
        <w:ind w:right="560"/>
      </w:pPr>
      <w:hyperlink w:anchor="b6dabe9fd6cb16198931c00010256bf" w:history="1">
        <w:r>
          <w:rPr>
            <w:rFonts w:ascii="Noto Serif" w:hAnsi="Noto Serif" w:eastAsia="Noto Serif CJK SC" w:cs="Noto Serif"/>
            <w:color w:val="000000"/>
            <w:lang w:val="pt-BR" w:eastAsia="zh-CN" w:bidi="pt-BR"/>
          </w:rPr>
          <w:t>5º mês lunar</w:t>
        </w:r>
      </w:hyperlink>
      <w:r>
        <w:tab/>
      </w:r>
      <w:r>
        <w:fldChar w:fldCharType="begin"/>
      </w:r>
      <w:r>
        <w:instrText xml:space="preserve"> PAGEREF b6dabe9fd6cb16198931c00010256bf \h </w:instrText>
      </w:r>
      <w:r>
        <w:fldChar w:fldCharType="separate"/>
      </w:r>
      <w:r>
        <w:rPr>
          <w:rFonts w:ascii="Noto Serif" w:hAnsi="Noto Serif" w:eastAsia="Noto Serif CJK SC" w:cs="Noto Serif"/>
          <w:color w:val="000000"/>
          <w:sz w:val="20"/>
          <w:szCs w:val="20"/>
          <w:lang w:val="pt-BR" w:eastAsia="zh-CN" w:bidi="pt-BR"/>
          <w:rStyle w:val="GeneratedPageReference"/>
        </w:rPr>
        <w:t>19</w:t>
      </w:r>
      <w:r>
        <w:fldChar w:fldCharType="end"/>
      </w:r>
    </w:p>
    <w:p>
      <w:pPr>
        <w:pStyle w:val="TOC2"/>
        <w:tabs>
          <w:tab w:pos="5516" w:val="right" w:leader="dot"/>
        </w:tabs>
        <w:ind w:right="560"/>
      </w:pPr>
      <w:hyperlink w:anchor="be5fcafaac1934fbb8ca185140d98b6" w:history="1">
        <w:r>
          <w:rPr>
            <w:rFonts w:ascii="Noto Serif" w:hAnsi="Noto Serif" w:eastAsia="Noto Serif CJK SC" w:cs="Noto Serif"/>
            <w:color w:val="000000"/>
            <w:lang w:val="pt-BR" w:eastAsia="zh-CN" w:bidi="pt-BR"/>
          </w:rPr>
          <w:t>6º mês lunar</w:t>
        </w:r>
      </w:hyperlink>
      <w:r>
        <w:tab/>
      </w:r>
      <w:r>
        <w:fldChar w:fldCharType="begin"/>
      </w:r>
      <w:r>
        <w:instrText xml:space="preserve"> PAGEREF be5fcafaac1934fbb8ca185140d98b6 \h </w:instrText>
      </w:r>
      <w:r>
        <w:fldChar w:fldCharType="separate"/>
      </w:r>
      <w:r>
        <w:rPr>
          <w:rFonts w:ascii="Noto Serif" w:hAnsi="Noto Serif" w:eastAsia="Noto Serif CJK SC" w:cs="Noto Serif"/>
          <w:color w:val="000000"/>
          <w:sz w:val="20"/>
          <w:szCs w:val="20"/>
          <w:lang w:val="pt-BR" w:eastAsia="zh-CN" w:bidi="pt-BR"/>
          <w:rStyle w:val="GeneratedPageReference"/>
        </w:rPr>
        <w:t>23</w:t>
      </w:r>
      <w:r>
        <w:fldChar w:fldCharType="end"/>
      </w:r>
    </w:p>
    <w:p>
      <w:pPr>
        <w:pStyle w:val="TOC2"/>
        <w:tabs>
          <w:tab w:pos="5516" w:val="right" w:leader="dot"/>
        </w:tabs>
        <w:ind w:right="560"/>
      </w:pPr>
      <w:hyperlink w:anchor="b63ce77911288e688e5ad5f3a1a8072" w:history="1">
        <w:r>
          <w:rPr>
            <w:rFonts w:ascii="Noto Serif" w:hAnsi="Noto Serif" w:eastAsia="Noto Serif CJK SC" w:cs="Noto Serif"/>
            <w:color w:val="000000"/>
            <w:lang w:val="pt-BR" w:eastAsia="zh-CN" w:bidi="pt-BR"/>
          </w:rPr>
          <w:t>7º mês lunar</w:t>
        </w:r>
      </w:hyperlink>
      <w:r>
        <w:tab/>
      </w:r>
      <w:r>
        <w:fldChar w:fldCharType="begin"/>
      </w:r>
      <w:r>
        <w:instrText xml:space="preserve"> PAGEREF b63ce77911288e688e5ad5f3a1a8072 \h </w:instrText>
      </w:r>
      <w:r>
        <w:fldChar w:fldCharType="separate"/>
      </w:r>
      <w:r>
        <w:rPr>
          <w:rFonts w:ascii="Noto Serif" w:hAnsi="Noto Serif" w:eastAsia="Noto Serif CJK SC" w:cs="Noto Serif"/>
          <w:color w:val="000000"/>
          <w:sz w:val="20"/>
          <w:szCs w:val="20"/>
          <w:lang w:val="pt-BR" w:eastAsia="zh-CN" w:bidi="pt-BR"/>
          <w:rStyle w:val="GeneratedPageReference"/>
        </w:rPr>
        <w:t>25</w:t>
      </w:r>
      <w:r>
        <w:fldChar w:fldCharType="end"/>
      </w:r>
    </w:p>
    <w:p>
      <w:pPr>
        <w:pStyle w:val="TOC2"/>
        <w:tabs>
          <w:tab w:pos="5516" w:val="right" w:leader="dot"/>
        </w:tabs>
        <w:ind w:right="560"/>
      </w:pPr>
      <w:hyperlink w:anchor="b5924b460af14f41f569b2c37929fca" w:history="1">
        <w:r>
          <w:rPr>
            <w:rFonts w:ascii="Noto Serif" w:hAnsi="Noto Serif" w:eastAsia="Noto Serif CJK SC" w:cs="Noto Serif"/>
            <w:color w:val="000000"/>
            <w:lang w:val="pt-BR" w:eastAsia="zh-CN" w:bidi="pt-BR"/>
          </w:rPr>
          <w:t>8º mês lunar</w:t>
        </w:r>
      </w:hyperlink>
      <w:r>
        <w:tab/>
      </w:r>
      <w:r>
        <w:fldChar w:fldCharType="begin"/>
      </w:r>
      <w:r>
        <w:instrText xml:space="preserve"> PAGEREF b5924b460af14f41f569b2c37929fca \h </w:instrText>
      </w:r>
      <w:r>
        <w:fldChar w:fldCharType="separate"/>
      </w:r>
      <w:r>
        <w:rPr>
          <w:rFonts w:ascii="Noto Serif" w:hAnsi="Noto Serif" w:eastAsia="Noto Serif CJK SC" w:cs="Noto Serif"/>
          <w:color w:val="000000"/>
          <w:sz w:val="20"/>
          <w:szCs w:val="20"/>
          <w:lang w:val="pt-BR" w:eastAsia="zh-CN" w:bidi="pt-BR"/>
          <w:rStyle w:val="GeneratedPageReference"/>
        </w:rPr>
        <w:t>28</w:t>
      </w:r>
      <w:r>
        <w:fldChar w:fldCharType="end"/>
      </w:r>
    </w:p>
    <w:p>
      <w:pPr>
        <w:pStyle w:val="TOC2"/>
        <w:tabs>
          <w:tab w:pos="5516" w:val="right" w:leader="dot"/>
        </w:tabs>
        <w:ind w:right="560"/>
      </w:pPr>
      <w:hyperlink w:anchor="ba9cebc8ebeba1296bb21461745104a" w:history="1">
        <w:r>
          <w:rPr>
            <w:rFonts w:ascii="Noto Serif" w:hAnsi="Noto Serif" w:eastAsia="Noto Serif CJK SC" w:cs="Noto Serif"/>
            <w:color w:val="000000"/>
            <w:lang w:val="pt-BR" w:eastAsia="zh-CN" w:bidi="pt-BR"/>
          </w:rPr>
          <w:t>9º mês lunar</w:t>
        </w:r>
      </w:hyperlink>
      <w:r>
        <w:tab/>
      </w:r>
      <w:r>
        <w:fldChar w:fldCharType="begin"/>
      </w:r>
      <w:r>
        <w:instrText xml:space="preserve"> PAGEREF ba9cebc8ebeba1296bb21461745104a \h </w:instrText>
      </w:r>
      <w:r>
        <w:fldChar w:fldCharType="separate"/>
      </w:r>
      <w:r>
        <w:rPr>
          <w:rFonts w:ascii="Noto Serif" w:hAnsi="Noto Serif" w:eastAsia="Noto Serif CJK SC" w:cs="Noto Serif"/>
          <w:color w:val="000000"/>
          <w:sz w:val="20"/>
          <w:szCs w:val="20"/>
          <w:lang w:val="pt-BR" w:eastAsia="zh-CN" w:bidi="pt-BR"/>
          <w:rStyle w:val="GeneratedPageReference"/>
        </w:rPr>
        <w:t>31</w:t>
      </w:r>
      <w:r>
        <w:fldChar w:fldCharType="end"/>
      </w:r>
    </w:p>
    <w:p>
      <w:pPr>
        <w:pStyle w:val="TOC2"/>
        <w:tabs>
          <w:tab w:pos="5516" w:val="right" w:leader="dot"/>
        </w:tabs>
        <w:ind w:right="560"/>
      </w:pPr>
      <w:hyperlink w:anchor="bde0a65917d76739f9bcdcb338e3b93" w:history="1">
        <w:r>
          <w:rPr>
            <w:rFonts w:ascii="Noto Serif" w:hAnsi="Noto Serif" w:eastAsia="Noto Serif CJK SC" w:cs="Noto Serif"/>
            <w:color w:val="000000"/>
            <w:lang w:val="pt-BR" w:eastAsia="zh-CN" w:bidi="pt-BR"/>
          </w:rPr>
          <w:t>10º mês lunar</w:t>
        </w:r>
      </w:hyperlink>
      <w:r>
        <w:tab/>
      </w:r>
      <w:r>
        <w:fldChar w:fldCharType="begin"/>
      </w:r>
      <w:r>
        <w:instrText xml:space="preserve"> PAGEREF bde0a65917d76739f9bcdcb338e3b93 \h </w:instrText>
      </w:r>
      <w:r>
        <w:fldChar w:fldCharType="separate"/>
      </w:r>
      <w:r>
        <w:rPr>
          <w:rFonts w:ascii="Noto Serif" w:hAnsi="Noto Serif" w:eastAsia="Noto Serif CJK SC" w:cs="Noto Serif"/>
          <w:color w:val="000000"/>
          <w:sz w:val="20"/>
          <w:szCs w:val="20"/>
          <w:lang w:val="pt-BR" w:eastAsia="zh-CN" w:bidi="pt-BR"/>
          <w:rStyle w:val="GeneratedPageReference"/>
        </w:rPr>
        <w:t>34</w:t>
      </w:r>
      <w:r>
        <w:fldChar w:fldCharType="end"/>
      </w:r>
    </w:p>
    <w:p>
      <w:pPr>
        <w:pStyle w:val="TOC2"/>
        <w:tabs>
          <w:tab w:pos="5516" w:val="right" w:leader="dot"/>
        </w:tabs>
        <w:ind w:right="560"/>
      </w:pPr>
      <w:hyperlink w:anchor="b2936bce86d51db806af9faa4768acf" w:history="1">
        <w:r>
          <w:rPr>
            <w:rFonts w:ascii="Noto Serif" w:hAnsi="Noto Serif" w:eastAsia="Noto Serif CJK SC" w:cs="Noto Serif"/>
            <w:color w:val="000000"/>
            <w:lang w:val="pt-BR" w:eastAsia="zh-CN" w:bidi="pt-BR"/>
          </w:rPr>
          <w:t>11º mês lunar</w:t>
        </w:r>
      </w:hyperlink>
      <w:r>
        <w:tab/>
      </w:r>
      <w:r>
        <w:fldChar w:fldCharType="begin"/>
      </w:r>
      <w:r>
        <w:instrText xml:space="preserve"> PAGEREF b2936bce86d51db806af9faa4768acf \h </w:instrText>
      </w:r>
      <w:r>
        <w:fldChar w:fldCharType="separate"/>
      </w:r>
      <w:r>
        <w:rPr>
          <w:rFonts w:ascii="Noto Serif" w:hAnsi="Noto Serif" w:eastAsia="Noto Serif CJK SC" w:cs="Noto Serif"/>
          <w:color w:val="000000"/>
          <w:sz w:val="20"/>
          <w:szCs w:val="20"/>
          <w:lang w:val="pt-BR" w:eastAsia="zh-CN" w:bidi="pt-BR"/>
          <w:rStyle w:val="GeneratedPageReference"/>
        </w:rPr>
        <w:t>37</w:t>
      </w:r>
      <w:r>
        <w:fldChar w:fldCharType="end"/>
      </w:r>
    </w:p>
    <w:p>
      <w:pPr>
        <w:pStyle w:val="TOC2"/>
        <w:tabs>
          <w:tab w:pos="5516" w:val="right" w:leader="dot"/>
        </w:tabs>
        <w:ind w:right="560"/>
      </w:pPr>
      <w:hyperlink w:anchor="b15115f47c7db70acc57cfc92cfff4c" w:history="1">
        <w:r>
          <w:rPr>
            <w:rFonts w:ascii="Noto Serif" w:hAnsi="Noto Serif" w:eastAsia="Noto Serif CJK SC" w:cs="Noto Serif"/>
            <w:color w:val="000000"/>
            <w:lang w:val="pt-BR" w:eastAsia="zh-CN" w:bidi="pt-BR"/>
          </w:rPr>
          <w:t>12º mês lunar</w:t>
        </w:r>
      </w:hyperlink>
      <w:r>
        <w:tab/>
      </w:r>
      <w:r>
        <w:fldChar w:fldCharType="begin"/>
      </w:r>
      <w:r>
        <w:instrText xml:space="preserve"> PAGEREF b15115f47c7db70acc57cfc92cfff4c \h </w:instrText>
      </w:r>
      <w:r>
        <w:fldChar w:fldCharType="separate"/>
      </w:r>
      <w:r>
        <w:rPr>
          <w:rFonts w:ascii="Noto Serif" w:hAnsi="Noto Serif" w:eastAsia="Noto Serif CJK SC" w:cs="Noto Serif"/>
          <w:color w:val="000000"/>
          <w:sz w:val="20"/>
          <w:szCs w:val="20"/>
          <w:lang w:val="pt-BR" w:eastAsia="zh-CN" w:bidi="pt-BR"/>
          <w:rStyle w:val="GeneratedPageReference"/>
        </w:rPr>
        <w:t>40</w:t>
      </w:r>
      <w:r>
        <w:fldChar w:fldCharType="end"/>
      </w:r>
    </w:p>
    <w:p>
      <w:pPr>
        <w:pStyle w:val="TOC2"/>
        <w:tabs>
          <w:tab w:pos="5516" w:val="right" w:leader="dot"/>
        </w:tabs>
        <w:ind w:right="560"/>
      </w:pPr>
      <w:hyperlink w:anchor="bb45f73bb280a672f7570e88b72b9a5" w:history="1">
        <w:r>
          <w:rPr>
            <w:rFonts w:ascii="Noto Serif" w:hAnsi="Noto Serif" w:eastAsia="Noto Serif CJK SC" w:cs="Noto Serif"/>
            <w:color w:val="000000"/>
            <w:lang w:val="pt-BR" w:eastAsia="zh-CN" w:bidi="pt-BR"/>
          </w:rPr>
          <w:t>Notas sobre as leituras da tabela</w:t>
        </w:r>
      </w:hyperlink>
      <w:r>
        <w:tab/>
      </w:r>
      <w:r>
        <w:fldChar w:fldCharType="begin"/>
      </w:r>
      <w:r>
        <w:instrText xml:space="preserve"> PAGEREF bb45f73bb280a672f7570e88b72b9a5 \h </w:instrText>
      </w:r>
      <w:r>
        <w:fldChar w:fldCharType="separate"/>
      </w:r>
      <w:r>
        <w:rPr>
          <w:rFonts w:ascii="Noto Serif" w:hAnsi="Noto Serif" w:eastAsia="Noto Serif CJK SC" w:cs="Noto Serif"/>
          <w:color w:val="000000"/>
          <w:sz w:val="20"/>
          <w:szCs w:val="20"/>
          <w:lang w:val="pt-BR" w:eastAsia="zh-CN" w:bidi="pt-BR"/>
          <w:rStyle w:val="GeneratedPageReference"/>
        </w:rPr>
        <w:t>44</w:t>
      </w:r>
      <w:r>
        <w:fldChar w:fldCharType="end"/>
      </w:r>
    </w:p>
    <w:p>
      <w:pPr>
        <w:pStyle w:val="TOC2"/>
        <w:tabs>
          <w:tab w:pos="5516" w:val="right" w:leader="dot"/>
        </w:tabs>
        <w:ind w:right="560"/>
      </w:pPr>
      <w:hyperlink w:anchor="b596c23b93ff45daef294712cbf8739" w:history="1">
        <w:r>
          <w:rPr>
            <w:rFonts w:ascii="Noto Serif" w:hAnsi="Noto Serif" w:eastAsia="Noto Serif CJK SC" w:cs="Noto Serif"/>
            <w:color w:val="000000"/>
            <w:lang w:val="pt-BR" w:eastAsia="zh-CN" w:bidi="pt-BR"/>
          </w:rPr>
          <w:t>Outras interdições constantes da fonte</w:t>
        </w:r>
      </w:hyperlink>
      <w:r>
        <w:tab/>
      </w:r>
      <w:r>
        <w:fldChar w:fldCharType="begin"/>
      </w:r>
      <w:r>
        <w:instrText xml:space="preserve"> PAGEREF b596c23b93ff45daef294712cbf8739 \h </w:instrText>
      </w:r>
      <w:r>
        <w:fldChar w:fldCharType="separate"/>
      </w:r>
      <w:r>
        <w:rPr>
          <w:rFonts w:ascii="Noto Serif" w:hAnsi="Noto Serif" w:eastAsia="Noto Serif CJK SC" w:cs="Noto Serif"/>
          <w:color w:val="000000"/>
          <w:sz w:val="20"/>
          <w:szCs w:val="20"/>
          <w:lang w:val="pt-BR" w:eastAsia="zh-CN" w:bidi="pt-BR"/>
          <w:rStyle w:val="GeneratedPageReference"/>
        </w:rPr>
        <w:t>46</w:t>
      </w:r>
      <w:r>
        <w:fldChar w:fldCharType="end"/>
      </w:r>
      <w:r>
        <w:fldChar w:fldCharType="end"/>
      </w:r>
    </w:p>
    <w:p>
      <w:pPr>
        <w:pStyle w:val="BookSourceTitle"/>
        <w:pageBreakBefore/>
      </w:pPr>
      <w:bookmarkStart w:id="3" w:name="b86595b4490515912aa8cf1bba9a3b1"/>
      <w:bookmarkStart w:id="2" w:name="bdbb19b0d576ee42a3aedebea72f86a"/>
      <w:bookmarkEnd w:id="2"/>
      <w:r>
        <w:rPr>
          <w:rFonts w:ascii="Noto Serif" w:hAnsi="Noto Serif" w:eastAsia="Noto Serif CJK SC" w:cs="Noto Serif"/>
          <w:color w:val="000000"/>
          <w:lang w:val="pt-BR" w:eastAsia="zh-CN" w:bidi="pt-BR"/>
        </w:rPr>
        <w:t>Suplemento de referência: períodos de abstinência para preservar a vida e interdições do Céu, da Terra e da pessoa</w:t>
      </w:r>
      <w:bookmarkEnd w:id="3"/>
    </w:p>
    <w:p>
      <w:pPr>
        <w:pStyle w:val="BookFirst"/>
      </w:pPr>
      <w:bookmarkStart w:id="4" w:name="b908efda34831c00e6463337fca95ab"/>
      <w:r>
        <w:rPr>
          <w:rFonts w:ascii="Noto Serif" w:hAnsi="Noto Serif" w:eastAsia="Noto Serif CJK SC" w:cs="Noto Serif"/>
          <w:color w:val="000000"/>
          <w:lang w:val="pt-BR" w:eastAsia="zh-CN" w:bidi="pt-BR"/>
        </w:rPr>
        <w:t>Tradução em português do Brasil submetida a revisão independente assistida por IA e à verificação das correções. As incertezas da fonte permanecem expressas; não se afirma revisão por leitor humano nativo. Este suplemento não equivale à conclusão da edição integral do livro.</w:t>
      </w:r>
      <w:bookmarkEnd w:id="4"/>
    </w:p>
    <w:p>
      <w:pPr>
        <w:pStyle w:val="Heading2"/>
        <w:pageBreakBefore/>
      </w:pPr>
      <w:bookmarkStart w:id="6" w:name="bb63fb5eb059124e7de23482bec2372"/>
      <w:bookmarkStart w:id="5" w:name="b96d02f90fd8c9faaffa9f550e3d57d"/>
      <w:bookmarkEnd w:id="5"/>
      <w:r>
        <w:rPr>
          <w:rFonts w:ascii="Noto Serif" w:hAnsi="Noto Serif" w:eastAsia="Noto Serif CJK SC" w:cs="Noto Serif"/>
          <w:color w:val="000000"/>
          <w:lang w:val="pt-BR" w:eastAsia="zh-CN" w:bidi="pt-BR"/>
        </w:rPr>
        <w:t>Fonte e modo de leitura</w:t>
      </w:r>
      <w:bookmarkEnd w:id="6"/>
    </w:p>
    <w:p>
      <w:pPr>
        <w:pStyle w:val="BookFirst"/>
        <w:overflowPunct w:val="1"/>
      </w:pPr>
      <w:bookmarkStart w:id="7" w:name="b4fce8ea71c2cfa3ee9ad1e690260a5"/>
      <w:r>
        <w:rPr>
          <w:rFonts w:ascii="Noto Serif" w:hAnsi="Noto Serif" w:eastAsia="Noto Serif CJK SC" w:cs="Noto Serif"/>
          <w:color w:val="000000"/>
          <w:lang w:val="pt-BR" w:eastAsia="zh-CN" w:bidi="pt-BR"/>
        </w:rPr>
        <w:t xml:space="preserve">Este suplemento traduz a tabela citada em </w:t>
      </w:r>
      <w:r>
        <w:rPr>
          <w:rFonts w:ascii="Noto Serif" w:hAnsi="Noto Serif" w:eastAsia="Noto Serif CJK SC" w:cs="Noto Serif"/>
          <w:color w:val="000000"/>
          <w:i w:val="1"/>
          <w:iCs w:val="1"/>
          <w:lang w:val="pt-BR" w:eastAsia="zh-CN" w:bidi="pt-BR"/>
        </w:rPr>
        <w:t>Yinlü Wuqing</w:t>
      </w:r>
      <w:r>
        <w:rPr>
          <w:rFonts w:ascii="Noto Serif" w:hAnsi="Noto Serif" w:eastAsia="Noto Serif CJK SC" w:cs="Noto Serif"/>
          <w:color w:val="000000"/>
          <w:lang w:val="pt-BR" w:eastAsia="zh-CN" w:bidi="pt-BR"/>
        </w:rPr>
        <w:t xml:space="preserve"> (</w:t>
      </w:r>
      <w:r>
        <w:rPr>
          <w:rFonts w:ascii="Noto Serif CJK SC" w:hAnsi="Noto Serif CJK SC" w:eastAsia="Noto Serif CJK SC" w:cs="Noto Serif CJK SC"/>
          <w:color w:val="000000"/>
          <w:lang w:val="pt-BR" w:eastAsia="zh-CN" w:bidi="pt-BR"/>
        </w:rPr>
        <w:t xml:space="preserve">《阴律无情》), </w:t>
      </w:r>
      <w:r>
        <w:rPr>
          <w:rFonts w:ascii="Noto Serif" w:hAnsi="Noto Serif" w:eastAsia="Noto Serif CJK SC" w:cs="Noto Serif"/>
          <w:color w:val="000000"/>
          <w:lang w:val="pt-BR" w:eastAsia="zh-CN" w:bidi="pt-BR"/>
        </w:rPr>
        <w:t xml:space="preserve">mas ausente do arquivo TXT usado como fonte da tradução principal. O TXT conserva o título e explica que não reproduz a tabela. A presente transcrição vem de uma fonte externa: </w:t>
      </w:r>
      <w:r>
        <w:rPr>
          <w:rFonts w:ascii="Noto Serif" w:hAnsi="Noto Serif" w:eastAsia="Noto Serif CJK SC" w:cs="Noto Serif"/>
          <w:color w:val="000000"/>
          <w:i w:val="1"/>
          <w:iCs w:val="1"/>
          <w:lang w:val="pt-BR" w:eastAsia="zh-CN" w:bidi="pt-BR"/>
        </w:rPr>
        <w:t>Shoukang Baojian</w:t>
      </w:r>
      <w:r>
        <w:rPr>
          <w:rFonts w:ascii="Noto Serif" w:hAnsi="Noto Serif" w:eastAsia="Noto Serif CJK SC" w:cs="Noto Serif"/>
          <w:color w:val="000000"/>
          <w:lang w:val="pt-BR" w:eastAsia="zh-CN" w:bidi="pt-BR"/>
        </w:rPr>
        <w:t xml:space="preserve"> (</w:t>
      </w:r>
      <w:r>
        <w:rPr>
          <w:rFonts w:ascii="Noto Serif CJK SC" w:hAnsi="Noto Serif CJK SC" w:eastAsia="Noto Serif CJK SC" w:cs="Noto Serif CJK SC"/>
          <w:color w:val="000000"/>
          <w:lang w:val="pt-BR" w:eastAsia="zh-CN" w:bidi="pt-BR"/>
        </w:rPr>
        <w:t xml:space="preserve">《寿康宝鉴》), </w:t>
      </w:r>
      <w:r>
        <w:rPr>
          <w:rFonts w:ascii="Noto Serif" w:hAnsi="Noto Serif" w:eastAsia="Noto Serif CJK SC" w:cs="Noto Serif"/>
          <w:color w:val="000000"/>
          <w:lang w:val="pt-BR" w:eastAsia="zh-CN" w:bidi="pt-BR"/>
        </w:rPr>
        <w:t>versão em chinês vernáculo, organizada e revista por Yinguang, vertida por discípulos das Três Joias e revista pelo site Jiexieyin. A capa indica distribuição conjunta por Suzhou Honghuashe e pela Associação de Estudos da Cultura Shoukang de Shangqiu. Não foi confirmada a data desta edição nem sua identidade com a edição citada no TXT.</w:t>
      </w:r>
      <w:bookmarkEnd w:id="7"/>
    </w:p>
    <w:p>
      <w:pPr>
        <w:jc w:val="left"/>
      </w:pPr>
      <w:bookmarkStart w:id="8" w:name="bbe379888b61e5dffccf3f29abe9b18"/>
      <w:r>
        <w:rPr>
          <w:rFonts w:ascii="Noto Serif" w:hAnsi="Noto Serif" w:eastAsia="Noto Serif CJK SC" w:cs="Noto Serif"/>
          <w:color w:val="000000"/>
          <w:lang w:val="pt-BR" w:eastAsia="zh-CN" w:bidi="pt-BR"/>
        </w:rPr>
        <w:t xml:space="preserve">Foram utilizadas as páginas 168–184 do PDF, correspondentes às páginas impressas 165–181. </w:t>
      </w:r>
      <w:hyperlink r:id="rId11" w:history="1">
        <w:r>
          <w:rPr>
            <w:rFonts w:ascii="Noto Serif" w:hAnsi="Noto Serif" w:eastAsia="Noto Serif CJK SC" w:cs="Noto Serif"/>
            <w:color w:val="000000"/>
            <w:lang w:val="pt-BR" w:eastAsia="zh-CN" w:bidi="pt-BR"/>
          </w:rPr>
          <w:t>PDF consultado</w:t>
        </w:r>
      </w:hyperlink>
      <w:r>
        <w:rPr>
          <w:rFonts w:ascii="Noto Serif" w:hAnsi="Noto Serif" w:eastAsia="Noto Serif CJK SC" w:cs="Noto Serif"/>
          <w:color w:val="000000"/>
          <w:lang w:val="pt-BR" w:eastAsia="zh-CN" w:bidi="pt-BR"/>
        </w:rPr>
        <w:t xml:space="preserve">. A </w:t>
      </w:r>
      <w:hyperlink r:id="rId12" w:history="1">
        <w:r>
          <w:rPr>
            <w:rFonts w:ascii="Noto Serif" w:hAnsi="Noto Serif" w:eastAsia="Noto Serif CJK SC" w:cs="Noto Serif"/>
            <w:color w:val="000000"/>
            <w:lang w:val="pt-BR" w:eastAsia="zh-CN" w:bidi="pt-BR"/>
          </w:rPr>
          <w:t>reprodução da tabela junto ao livro</w:t>
        </w:r>
      </w:hyperlink>
      <w:r>
        <w:rPr>
          <w:rFonts w:ascii="Noto Serif" w:hAnsi="Noto Serif" w:eastAsia="Noto Serif CJK SC" w:cs="Noto Serif"/>
          <w:color w:val="000000"/>
          <w:lang w:val="pt-BR" w:eastAsia="zh-CN" w:bidi="pt-BR"/>
        </w:rPr>
        <w:t xml:space="preserve"> serve de testemunho paralelo, não de substituto silencioso do PDF.</w:t>
      </w:r>
      <w:bookmarkEnd w:id="8"/>
    </w:p>
    <w:p>
      <w:pPr/>
      <w:bookmarkStart w:id="9" w:name="b1fddb3023bce1a68530a012782692d"/>
      <w:r>
        <w:rPr>
          <w:rFonts w:ascii="Noto Serif" w:hAnsi="Noto Serif" w:eastAsia="Noto Serif CJK SC" w:cs="Noto Serif"/>
          <w:color w:val="000000"/>
          <w:lang w:val="pt-BR" w:eastAsia="zh-CN" w:bidi="pt-BR"/>
        </w:rPr>
        <w:t>As interdições e consequências abaixo pertencem à obra citada. Incluem crenças religiosas e afirmações antigas sobre doença, gravidez, descendência e morte; sua tradução não as apresenta como conhecimento médico comprovado ou orientação atual de saúde. O termo “transgressão”, neste quadro, refere-se a ter relações sexuais nas circunstâncias que o texto proíbe. “Abstinência” tem esse sentido; “jejum ritual” traduz uma observância religiosa distinta, quando expressamente mencionada.</w:t>
      </w:r>
      <w:bookmarkEnd w:id="9"/>
    </w:p>
    <w:p>
      <w:pPr>
        <w:overflowPunct w:val="1"/>
      </w:pPr>
      <w:bookmarkStart w:id="10" w:name="b2a0d0b7e74be98a15df478802d60c3"/>
      <w:r>
        <w:rPr>
          <w:rFonts w:ascii="Noto Serif" w:hAnsi="Noto Serif" w:eastAsia="Noto Serif CJK SC" w:cs="Noto Serif"/>
          <w:color w:val="000000"/>
          <w:lang w:val="pt-BR" w:eastAsia="zh-CN" w:bidi="pt-BR"/>
        </w:rPr>
        <w:t>Todos os meses e dias são do calendário lunar chinês. Os nomes de troncos celestes, ramos terrestres e termos solares são mantidos; não se trata de um calendário gregoriano de um ano específico. Os aniversários são datas comemorativas de divindades, budas, bodhisattvas e mestres. “Descida” designa sua vinda ao mundo humano segundo a fonte. Os Três Oficiais são os do Céu, da Terra e das Águas; a designação Dou (</w:t>
      </w:r>
      <w:r>
        <w:rPr>
          <w:rFonts w:ascii="Noto Serif CJK SC" w:hAnsi="Noto Serif CJK SC" w:eastAsia="Noto Serif CJK SC" w:cs="Noto Serif CJK SC"/>
          <w:color w:val="000000"/>
          <w:lang w:val="pt-BR" w:eastAsia="zh-CN" w:bidi="pt-BR"/>
        </w:rPr>
        <w:t xml:space="preserve">斗) </w:t>
      </w:r>
      <w:r>
        <w:rPr>
          <w:rFonts w:ascii="Noto Serif" w:hAnsi="Noto Serif" w:eastAsia="Noto Serif CJK SC" w:cs="Noto Serif"/>
          <w:color w:val="000000"/>
          <w:lang w:val="pt-BR" w:eastAsia="zh-CN" w:bidi="pt-BR"/>
        </w:rPr>
        <w:t>é mantida nas referências astrais da fonte; Beidou (</w:t>
      </w:r>
      <w:r>
        <w:rPr>
          <w:rFonts w:ascii="Noto Serif CJK SC" w:hAnsi="Noto Serif CJK SC" w:eastAsia="Noto Serif CJK SC" w:cs="Noto Serif CJK SC"/>
          <w:color w:val="000000"/>
          <w:lang w:val="pt-BR" w:eastAsia="zh-CN" w:bidi="pt-BR"/>
        </w:rPr>
        <w:t xml:space="preserve">北斗) </w:t>
      </w:r>
      <w:r>
        <w:rPr>
          <w:rFonts w:ascii="Noto Serif" w:hAnsi="Noto Serif" w:eastAsia="Noto Serif CJK SC" w:cs="Noto Serif"/>
          <w:color w:val="000000"/>
          <w:lang w:val="pt-BR" w:eastAsia="zh-CN" w:bidi="pt-BR"/>
        </w:rPr>
        <w:t>e Nandou (</w:t>
      </w:r>
      <w:r>
        <w:rPr>
          <w:rFonts w:ascii="Noto Serif CJK SC" w:hAnsi="Noto Serif CJK SC" w:eastAsia="Noto Serif CJK SC" w:cs="Noto Serif CJK SC"/>
          <w:color w:val="000000"/>
          <w:lang w:val="pt-BR" w:eastAsia="zh-CN" w:bidi="pt-BR"/>
        </w:rPr>
        <w:t xml:space="preserve">南斗) </w:t>
      </w:r>
      <w:r>
        <w:rPr>
          <w:rFonts w:ascii="Noto Serif" w:hAnsi="Noto Serif" w:eastAsia="Noto Serif CJK SC" w:cs="Noto Serif"/>
          <w:color w:val="000000"/>
          <w:lang w:val="pt-BR" w:eastAsia="zh-CN" w:bidi="pt-BR"/>
        </w:rPr>
        <w:t>conservam as distinções entre Norte e Sul.</w:t>
      </w:r>
      <w:bookmarkEnd w:id="10"/>
    </w:p>
    <w:p>
      <w:pPr/>
      <w:bookmarkStart w:id="11" w:name="b2467ec9f5987cc5ccabca9b91c7fc7"/>
      <w:r>
        <w:rPr>
          <w:rFonts w:ascii="Noto Serif" w:hAnsi="Noto Serif" w:eastAsia="Noto Serif CJK SC" w:cs="Noto Serif"/>
          <w:color w:val="000000"/>
          <w:lang w:val="pt-BR" w:eastAsia="zh-CN" w:bidi="pt-BR"/>
        </w:rPr>
        <w:t>Cada linha reúne uma data. Os motivos e as consequências conservam sua ordem interna, mas não se deve associar mecanicamente o primeiro motivo à primeira consequência: o original usa células compartilhadas e espaços sem repetição. Uma coluna sem indicação própria não equivale a uma declaração de que não há consequência. Ji e suan são unidades de redução da vida segundo o próprio texto: doze anos e cem dias, respectivamente.</w:t>
      </w:r>
      <w:bookmarkEnd w:id="11"/>
    </w:p>
    <w:p>
      <w:pPr>
        <w:pStyle w:val="Heading2"/>
        <w:pageBreakBefore/>
      </w:pPr>
      <w:bookmarkStart w:id="13" w:name="b16a4b4a7092276dbf3569d0752a1af"/>
      <w:bookmarkStart w:id="12" w:name="b9112b7ec12fa79e314656495c9b79c"/>
      <w:bookmarkEnd w:id="12"/>
      <w:r>
        <w:rPr>
          <w:rFonts w:ascii="Noto Serif" w:hAnsi="Noto Serif" w:eastAsia="Noto Serif CJK SC" w:cs="Noto Serif"/>
          <w:color w:val="000000"/>
          <w:lang w:val="pt-BR" w:eastAsia="zh-CN" w:bidi="pt-BR"/>
        </w:rPr>
        <w:t>1º mês lunar</w:t>
      </w:r>
      <w:bookmarkEnd w:id="13"/>
    </w:p>
    <w:tbl>
      <w:tblPr>
        <w:tblW w:type="dxa" w:w="5556"/>
        <w:jc w:val="center"/>
        <w:tblLayout w:type="fixed"/>
        <w:tblLook w:firstColumn="1" w:firstRow="1" w:lastColumn="0" w:lastRow="0" w:noHBand="0" w:noVBand="1" w:val="04A0"/>
        <w:tblBorders>
          <w:top w:val="single" w:sz="4" w:color="777777"/>
          <w:left w:val="single" w:sz="4" w:color="777777"/>
          <w:bottom w:val="single" w:sz="4" w:color="777777"/>
          <w:right w:val="single" w:sz="4" w:color="777777"/>
          <w:insideH w:val="single" w:sz="4" w:color="777777"/>
          <w:insideV w:val="single" w:sz="4" w:color="777777"/>
        </w:tblBorders>
        <w:tblCellMar>
          <w:top w:w="65" w:type="dxa"/>
          <w:left w:w="75" w:type="dxa"/>
          <w:bottom w:w="65" w:type="dxa"/>
          <w:right w:w="75" w:type="dxa"/>
        </w:tblCellMar>
      </w:tblPr>
      <w:tblGrid>
        <w:gridCol w:w="889"/>
        <w:gridCol w:w="2556"/>
        <w:gridCol w:w="2111"/>
      </w:tblGrid>
      <w:tr>
        <w:trPr>
          <w:cantSplit/>
          <w:tblHeader/>
        </w:trPr>
        <w:tc>
          <w:tcPr>
            <w:tcW w:type="dxa" w:w="889"/>
            <w:vAlign w:val="center"/>
            <w:shd w:fill="EEEEEE" w:val="clear"/>
          </w:tcPr>
          <w:p>
            <w:pPr>
              <w:pStyle w:val="BookTable"/>
            </w:pPr>
            <w:bookmarkStart w:id="14" w:name="be1e6a864f57f99513bd33b19439808"/>
            <w:r>
              <w:rPr>
                <w:rFonts w:ascii="Noto Serif" w:hAnsi="Noto Serif" w:eastAsia="Noto Serif CJK SC" w:cs="Noto Serif"/>
                <w:color w:val="000000"/>
                <w:b w:val="1"/>
                <w:bCs w:val="1"/>
                <w:lang w:val="pt-BR" w:eastAsia="zh-CN" w:bidi="pt-BR"/>
              </w:rPr>
              <w:t>Dia</w:t>
            </w:r>
          </w:p>
        </w:tc>
        <w:tc>
          <w:tcPr>
            <w:tcW w:type="dxa" w:w="2556"/>
            <w:vAlign w:val="center"/>
            <w:shd w:fill="EEEEEE" w:val="clea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b w:val="1"/>
                <w:bCs w:val="1"/>
                <w:lang w:val="pt-BR" w:eastAsia="zh-CN" w:bidi="pt-BR"/>
              </w:rPr>
              <w:t>Motivos da abstinência na fonte</w:t>
            </w:r>
          </w:p>
        </w:tc>
        <w:tc>
          <w:tcPr>
            <w:tcW w:type="dxa" w:w="2111"/>
            <w:vAlign w:val="center"/>
            <w:shd w:fill="EEEEEE" w:val="clea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b w:val="1"/>
                <w:bCs w:val="1"/>
                <w:lang w:val="pt-BR" w:eastAsia="zh-CN" w:bidi="pt-BR"/>
              </w:rPr>
              <w:t>Consequências atribuídas pela fonte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1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Celebração Tianla, dedicada ao Céu; o Imperador de Jade examina o espírito, a energia vital, os benefícios e o destino das pessoas; lua nova.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Redução dos benefícios destinados à pessoa e perda de um ji (um ji corresponde a doze anos; um suan, a cem dias; perder ji ou suan significa ter a vida encurtada); perda de um ji.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3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Assembleia de todas as divindades; descida das divindades de Dou.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Perda de um ji.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5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Interdição das cinco deficiências (na medicina tradicional chinesa: pulso fino, pele fria, perdas por evacuação e micção, incapacidade de ingerir alimentos e insuficiência da energia vital genuína).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Sem indicação própria.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6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Interdição dos seis desgastes (seis doenças atribuídas a yin, yang, escuridão, claridade, vento e chuva); dia de jejum ritual do Trovão (o mesmo em todos os meses).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Redução da duração da vida.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7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Dia da Assembleia Superior.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Diminuição da longevidade.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8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Aniversário de Yanluo, soberano do quinto tribunal; ronda dos Quatro Reis Celestiais (o mesmo em todos os meses).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Perda de um ji.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9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Aniversário do Imperador de Jade.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Perda de um ji.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13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Dia interdito de Yang Gong.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Sem indicação própria.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14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Descida dos Três Oficiais; ronda dos Quatro Reis Celestiais (o mesmo em todos os meses).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Redução da duração da vida.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15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Descida dos Três Oficiais; assembleia divina de Shangyuan; lua cheia (o mesmo em todos os meses); ronda dos Quatro Reis Celestiais (o mesmo em todos os meses).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Redução da duração da vida; perda de um ji; perda de um ji.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16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Descida dos Três Oficiais.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Redução da duração da vida.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19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Aniversário do imortal Changchun.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Sem indicação própria.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23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As divindades dos Três Cadáveres apresentam seus relatórios; ronda dos Quatro Reis Celestiais (o mesmo em todos os meses).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Sem indicação própria.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25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Dia de fim do mês lunar (o mesmo em todos os meses); abertura dos celeiros do Céu e da Terra.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Redução da duração da vida; diminuição da longevidade e filho com doença.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27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Descida das divindades de Dou (o mesmo em todos os meses).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Perda de um ji.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28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O espírito do corpo humano está na região genital (o mesmo em todos os meses; a abstinência deve começar no dia anterior).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Doença.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29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Ronda dos Quatro Reis Celestiais (o mesmo em todos os meses).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Sem indicação própria.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30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Fim do mês lunar; Siming, que administra o destino, apresenta seu relatório (o mesmo em todos os meses); ronda dos Quatro Reis Celestiais (o mesmo em todos os meses; nos meses de 29 dias, observar a abstinência no dia 29).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Redução da duração da vida.</w:t>
            </w:r>
            <w:bookmarkEnd w:id="14"/>
          </w:p>
        </w:tc>
      </w:tr>
    </w:tbl>
    <w:p>
      <w:pPr>
        <w:pStyle w:val="Heading2"/>
        <w:pageBreakBefore/>
      </w:pPr>
      <w:bookmarkStart w:id="16" w:name="b2a1b8915f8fed02521112855e7be63"/>
      <w:bookmarkStart w:id="15" w:name="b918fc36177a07a3ea4585b2a32e761"/>
      <w:bookmarkEnd w:id="15"/>
      <w:r>
        <w:rPr>
          <w:rFonts w:ascii="Noto Serif" w:hAnsi="Noto Serif" w:eastAsia="Noto Serif CJK SC" w:cs="Noto Serif"/>
          <w:color w:val="000000"/>
          <w:lang w:val="pt-BR" w:eastAsia="zh-CN" w:bidi="pt-BR"/>
        </w:rPr>
        <w:t>2º mês lunar</w:t>
      </w:r>
      <w:bookmarkEnd w:id="16"/>
    </w:p>
    <w:tbl>
      <w:tblPr>
        <w:tblW w:type="dxa" w:w="5556"/>
        <w:jc w:val="center"/>
        <w:tblLayout w:type="fixed"/>
        <w:tblLook w:firstColumn="1" w:firstRow="1" w:lastColumn="0" w:lastRow="0" w:noHBand="0" w:noVBand="1" w:val="04A0"/>
        <w:tblBorders>
          <w:top w:val="single" w:sz="4" w:color="777777"/>
          <w:left w:val="single" w:sz="4" w:color="777777"/>
          <w:bottom w:val="single" w:sz="4" w:color="777777"/>
          <w:right w:val="single" w:sz="4" w:color="777777"/>
          <w:insideH w:val="single" w:sz="4" w:color="777777"/>
          <w:insideV w:val="single" w:sz="4" w:color="777777"/>
        </w:tblBorders>
        <w:tblCellMar>
          <w:top w:w="65" w:type="dxa"/>
          <w:left w:w="75" w:type="dxa"/>
          <w:bottom w:w="65" w:type="dxa"/>
          <w:right w:w="75" w:type="dxa"/>
        </w:tblCellMar>
      </w:tblPr>
      <w:tblGrid>
        <w:gridCol w:w="889"/>
        <w:gridCol w:w="2556"/>
        <w:gridCol w:w="2111"/>
      </w:tblGrid>
      <w:tr>
        <w:trPr>
          <w:cantSplit/>
          <w:tblHeader/>
        </w:trPr>
        <w:tc>
          <w:tcPr>
            <w:tcW w:type="dxa" w:w="889"/>
            <w:vAlign w:val="center"/>
            <w:shd w:fill="EEEEEE" w:val="clear"/>
          </w:tcPr>
          <w:p>
            <w:pPr>
              <w:pStyle w:val="BookTable"/>
            </w:pPr>
            <w:bookmarkStart w:id="17" w:name="b54d101b6b70b42d2442fc95ff11dcf"/>
            <w:r>
              <w:rPr>
                <w:rFonts w:ascii="Noto Serif" w:hAnsi="Noto Serif" w:eastAsia="Noto Serif CJK SC" w:cs="Noto Serif"/>
                <w:color w:val="000000"/>
                <w:b w:val="1"/>
                <w:bCs w:val="1"/>
                <w:lang w:val="pt-BR" w:eastAsia="zh-CN" w:bidi="pt-BR"/>
              </w:rPr>
              <w:t>Dia</w:t>
            </w:r>
          </w:p>
        </w:tc>
        <w:tc>
          <w:tcPr>
            <w:tcW w:type="dxa" w:w="2556"/>
            <w:vAlign w:val="center"/>
            <w:shd w:fill="EEEEEE" w:val="clea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b w:val="1"/>
                <w:bCs w:val="1"/>
                <w:lang w:val="pt-BR" w:eastAsia="zh-CN" w:bidi="pt-BR"/>
              </w:rPr>
              <w:t>Motivos da abstinência na fonte</w:t>
            </w:r>
          </w:p>
        </w:tc>
        <w:tc>
          <w:tcPr>
            <w:tcW w:type="dxa" w:w="2111"/>
            <w:vAlign w:val="center"/>
            <w:shd w:fill="EEEEEE" w:val="clea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b w:val="1"/>
                <w:bCs w:val="1"/>
                <w:lang w:val="pt-BR" w:eastAsia="zh-CN" w:bidi="pt-BR"/>
              </w:rPr>
              <w:t>Consequências atribuídas pela fonte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1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Lua nova; aniversário de Qin Guang, rei do primeiro tribunal.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Perda de um ji.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2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Assembleia de todas as divindades; aniversário do Deus da Terra, da Virtude e da Fortuna.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Perda de um ji; infortúnio.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3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Descida das divindades de Dou; aniversário do Senhor Imperial Wenchang.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Redução dos benefícios destinados à pessoa e perda de um ji.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6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Dia de jejum ritual do Trovão; aniversário do Senhor Imperial do Pico Oriental.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Redução da duração da vida.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8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Renúncia de Buda Shakyamuni à vida familiar; aniversário do rei Song Di; aniversário do Grande Imperador Zhang; ronda dos Quatro Reis Celestiais.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Perda de um ji.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11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Dia interdito de Yang Gong.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Sem indicação própria.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14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Ronda dos Quatro Reis Celestiais.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Sem indicação própria.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15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Parinirvana de Buda Shakyamuni; lua cheia; aniversário do Supremo Senhor Lao; ronda dos Quatro Reis Celestiais.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Redução dos benefícios destinados à pessoa e perda de um ji.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17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Aniversário do general Du do Oriente.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Sem indicação própria.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18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Aniversário de Wuguan, rei do quarto tribunal; data de falecimento de Confúcio, o Mestre Sábio por Excelência.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Redução dos benefícios destinados à pessoa e perda de um ji.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19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Aniversário de Guanyin, o Grande Ser.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Perda de um ji.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21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Aniversário do bodhisattva Samantabhadra.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Sem indicação própria.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23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Ronda dos Quatro Reis Celestiais.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Sem indicação própria.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25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Dia de fim do mês lunar.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Redução da duração da vida.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27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Descida das divindades de Dou.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Perda de um ji.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28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O espírito do corpo humano está na região genital.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Doença.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29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Ronda dos Quatro Reis Celestiais.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Sem indicação própria.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30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Fim do mês lunar; Siming apresenta seu relatório; ronda dos Quatro Reis Celestiais (nos meses de 29 dias, observar a abstinência no dia 29).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Redução da duração da vida.</w:t>
            </w:r>
            <w:bookmarkEnd w:id="17"/>
          </w:p>
        </w:tc>
      </w:tr>
    </w:tbl>
    <w:p>
      <w:pPr>
        <w:pStyle w:val="Heading2"/>
        <w:pageBreakBefore/>
      </w:pPr>
      <w:bookmarkStart w:id="19" w:name="b7ff686f45f1bc224304e2bf69cb7e5"/>
      <w:bookmarkStart w:id="18" w:name="bb52a1f7192c75797421f85533d6f9b"/>
      <w:bookmarkEnd w:id="18"/>
      <w:r>
        <w:rPr>
          <w:rFonts w:ascii="Noto Serif" w:hAnsi="Noto Serif" w:eastAsia="Noto Serif CJK SC" w:cs="Noto Serif"/>
          <w:color w:val="000000"/>
          <w:lang w:val="pt-BR" w:eastAsia="zh-CN" w:bidi="pt-BR"/>
        </w:rPr>
        <w:t>3º mês lunar</w:t>
      </w:r>
      <w:bookmarkEnd w:id="19"/>
    </w:p>
    <w:tbl>
      <w:tblPr>
        <w:tblW w:type="dxa" w:w="5556"/>
        <w:jc w:val="center"/>
        <w:tblLayout w:type="fixed"/>
        <w:tblLook w:firstColumn="1" w:firstRow="1" w:lastColumn="0" w:lastRow="0" w:noHBand="0" w:noVBand="1" w:val="04A0"/>
        <w:tblBorders>
          <w:top w:val="single" w:sz="4" w:color="777777"/>
          <w:left w:val="single" w:sz="4" w:color="777777"/>
          <w:bottom w:val="single" w:sz="4" w:color="777777"/>
          <w:right w:val="single" w:sz="4" w:color="777777"/>
          <w:insideH w:val="single" w:sz="4" w:color="777777"/>
          <w:insideV w:val="single" w:sz="4" w:color="777777"/>
        </w:tblBorders>
        <w:tblCellMar>
          <w:top w:w="65" w:type="dxa"/>
          <w:left w:w="75" w:type="dxa"/>
          <w:bottom w:w="65" w:type="dxa"/>
          <w:right w:w="75" w:type="dxa"/>
        </w:tblCellMar>
      </w:tblPr>
      <w:tblGrid>
        <w:gridCol w:w="889"/>
        <w:gridCol w:w="2556"/>
        <w:gridCol w:w="2111"/>
      </w:tblGrid>
      <w:tr>
        <w:trPr>
          <w:cantSplit/>
          <w:tblHeader/>
        </w:trPr>
        <w:tc>
          <w:tcPr>
            <w:tcW w:type="dxa" w:w="889"/>
            <w:vAlign w:val="center"/>
            <w:shd w:fill="EEEEEE" w:val="clear"/>
          </w:tcPr>
          <w:p>
            <w:pPr>
              <w:pStyle w:val="BookTable"/>
            </w:pPr>
            <w:bookmarkStart w:id="20" w:name="b3ec967717e5fe415a36cf6f5d7492e"/>
            <w:r>
              <w:rPr>
                <w:rFonts w:ascii="Noto Serif" w:hAnsi="Noto Serif" w:eastAsia="Noto Serif CJK SC" w:cs="Noto Serif"/>
                <w:color w:val="000000"/>
                <w:b w:val="1"/>
                <w:bCs w:val="1"/>
                <w:lang w:val="pt-BR" w:eastAsia="zh-CN" w:bidi="pt-BR"/>
              </w:rPr>
              <w:t>Dia</w:t>
            </w:r>
          </w:p>
        </w:tc>
        <w:tc>
          <w:tcPr>
            <w:tcW w:type="dxa" w:w="2556"/>
            <w:vAlign w:val="center"/>
            <w:shd w:fill="EEEEEE" w:val="clea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b w:val="1"/>
                <w:bCs w:val="1"/>
                <w:lang w:val="pt-BR" w:eastAsia="zh-CN" w:bidi="pt-BR"/>
              </w:rPr>
              <w:t>Motivos da abstinência na fonte</w:t>
            </w:r>
          </w:p>
        </w:tc>
        <w:tc>
          <w:tcPr>
            <w:tcW w:type="dxa" w:w="2111"/>
            <w:vAlign w:val="center"/>
            <w:shd w:fill="EEEEEE" w:val="clea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b w:val="1"/>
                <w:bCs w:val="1"/>
                <w:lang w:val="pt-BR" w:eastAsia="zh-CN" w:bidi="pt-BR"/>
              </w:rPr>
              <w:t>Consequências atribuídas pela fonte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1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Lua nova; aniversário de Chujiang, rei do segundo tribunal.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Perda de um ji.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3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Descida das divindades de Dou; aniversário do Imperador do Céu Misterioso.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Perda de um ji.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6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Dia de jejum ritual do Trovão.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Redução da duração da vida.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8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Aniversário de Biancheng, rei do sexto tribunal; ronda dos Quatro Reis Celestiais.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Perda de um ji.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9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Saída da divindade de cabeça de boi; dia interdito de Yang Gong.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Nascimento de uma criança qualificada pela fonte como “má”.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12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Aniversário da divindade dos Cinco Caminhos do Centro.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Sem indicação própria.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14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Ronda dos Quatro Reis Celestiais.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Sem indicação própria.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15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Lua cheia; aniversário de Xuantan; aniversário do Imperador do Vasto Céu; ronda dos Quatro Reis Celestiais.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Perda de um ji.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16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Aniversário do bodhisattva Cundi.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Perda de um ji.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18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Aniversário do Grande Imperador do Pico Central; aniversário da Senhora Houtu; descida dos Três Mao.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Sem indicação própria.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20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Abertura dos celeiros do Céu e da Terra; aniversário da Senhora dos Descendentes.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Diminuição da longevidade.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23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Ronda dos Quatro Reis Celestiais.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Sem indicação própria.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25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Dia de fim do mês lunar.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Redução da duração da vida.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27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Descida das divindades de Dou; aniversário de Taishan, rei do sétimo tribunal.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Perda de um ji.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28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O espírito do corpo humano está na região genital; aniversário de Cangjie, o Mestre Sábio por Excelência.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Doença; redução dos benefícios destinados à pessoa e perda de um ji.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29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Ronda dos Quatro Reis Celestiais.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Sem indicação própria.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30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Fim do mês lunar; Siming apresenta seu relatório; ronda dos Quatro Reis Celestiais (nos meses de 29 dias, observar a abstinência no dia 29).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Redução da duração da vida.</w:t>
            </w:r>
            <w:bookmarkEnd w:id="20"/>
          </w:p>
        </w:tc>
      </w:tr>
    </w:tbl>
    <w:p>
      <w:pPr>
        <w:pStyle w:val="Heading2"/>
        <w:pageBreakBefore/>
      </w:pPr>
      <w:bookmarkStart w:id="22" w:name="bcd84157281a231dda28c207f3b8570"/>
      <w:bookmarkStart w:id="21" w:name="bd73637c6de43812f1b65d4e973fd0f"/>
      <w:bookmarkEnd w:id="21"/>
      <w:r>
        <w:rPr>
          <w:rFonts w:ascii="Noto Serif" w:hAnsi="Noto Serif" w:eastAsia="Noto Serif CJK SC" w:cs="Noto Serif"/>
          <w:color w:val="000000"/>
          <w:lang w:val="pt-BR" w:eastAsia="zh-CN" w:bidi="pt-BR"/>
        </w:rPr>
        <w:t>4º mês lunar</w:t>
      </w:r>
      <w:bookmarkEnd w:id="22"/>
    </w:p>
    <w:tbl>
      <w:tblPr>
        <w:tblW w:type="dxa" w:w="5556"/>
        <w:jc w:val="center"/>
        <w:tblLayout w:type="fixed"/>
        <w:tblLook w:firstColumn="1" w:firstRow="1" w:lastColumn="0" w:lastRow="0" w:noHBand="0" w:noVBand="1" w:val="04A0"/>
        <w:tblBorders>
          <w:top w:val="single" w:sz="4" w:color="777777"/>
          <w:left w:val="single" w:sz="4" w:color="777777"/>
          <w:bottom w:val="single" w:sz="4" w:color="777777"/>
          <w:right w:val="single" w:sz="4" w:color="777777"/>
          <w:insideH w:val="single" w:sz="4" w:color="777777"/>
          <w:insideV w:val="single" w:sz="4" w:color="777777"/>
        </w:tblBorders>
        <w:tblCellMar>
          <w:top w:w="65" w:type="dxa"/>
          <w:left w:w="75" w:type="dxa"/>
          <w:bottom w:w="65" w:type="dxa"/>
          <w:right w:w="75" w:type="dxa"/>
        </w:tblCellMar>
      </w:tblPr>
      <w:tblGrid>
        <w:gridCol w:w="889"/>
        <w:gridCol w:w="2556"/>
        <w:gridCol w:w="2111"/>
      </w:tblGrid>
      <w:tr>
        <w:trPr>
          <w:cantSplit/>
          <w:tblHeader/>
        </w:trPr>
        <w:tc>
          <w:tcPr>
            <w:tcW w:type="dxa" w:w="889"/>
            <w:vAlign w:val="center"/>
            <w:shd w:fill="EEEEEE" w:val="clear"/>
          </w:tcPr>
          <w:p>
            <w:pPr>
              <w:pStyle w:val="BookTable"/>
            </w:pPr>
            <w:bookmarkStart w:id="23" w:name="baad2db6ab26a4197a4b9cc9ebf89a7"/>
            <w:r>
              <w:rPr>
                <w:rFonts w:ascii="Noto Serif" w:hAnsi="Noto Serif" w:eastAsia="Noto Serif CJK SC" w:cs="Noto Serif"/>
                <w:color w:val="000000"/>
                <w:b w:val="1"/>
                <w:bCs w:val="1"/>
                <w:lang w:val="pt-BR" w:eastAsia="zh-CN" w:bidi="pt-BR"/>
              </w:rPr>
              <w:t>Dia</w:t>
            </w:r>
          </w:p>
        </w:tc>
        <w:tc>
          <w:tcPr>
            <w:tcW w:type="dxa" w:w="2556"/>
            <w:vAlign w:val="center"/>
            <w:shd w:fill="EEEEEE" w:val="clea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b w:val="1"/>
                <w:bCs w:val="1"/>
                <w:lang w:val="pt-BR" w:eastAsia="zh-CN" w:bidi="pt-BR"/>
              </w:rPr>
              <w:t>Motivos da abstinência na fonte</w:t>
            </w:r>
          </w:p>
        </w:tc>
        <w:tc>
          <w:tcPr>
            <w:tcW w:type="dxa" w:w="2111"/>
            <w:vAlign w:val="center"/>
            <w:shd w:fill="EEEEEE" w:val="clea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b w:val="1"/>
                <w:bCs w:val="1"/>
                <w:lang w:val="pt-BR" w:eastAsia="zh-CN" w:bidi="pt-BR"/>
              </w:rPr>
              <w:t>Consequências atribuídas pela fonte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1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Lua nova; aniversário de Dushi, rei do oitavo tribunal.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Perda de um ji.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3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Descida das divindades de Dou.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Perda de um ji.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4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Todas as divindades promovem a transformação para o bem; aniversário do bodhisattva Manjushri.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“</w:t>
            </w:r>
            <w:r>
              <w:rPr>
                <w:rFonts w:ascii="Noto Serif CJK SC" w:hAnsi="Noto Serif CJK SC" w:eastAsia="Noto Serif CJK SC" w:cs="Noto Serif CJK SC"/>
                <w:color w:val="000000"/>
                <w:lang w:val="pt-BR" w:eastAsia="zh-CN" w:bidi="pt-BR"/>
              </w:rPr>
              <w:t>失瘏” [</w:t>
            </w: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leitura incerta preservada]; morte prematura do feto.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6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Dia de jejum ritual do Trovão.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Redução da duração da vida.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8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Aniversário de Buda Shakyamuni; todas as divindades promovem a transformação para o bem; descida dos jovens divinos do Bem e do Mal; aniversário de Pingdeng, rei do nono tribunal; ronda dos Quatro Reis Celestiais.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Perda de um ji; “</w:t>
            </w:r>
            <w:r>
              <w:rPr>
                <w:rFonts w:ascii="Noto Serif CJK SC" w:hAnsi="Noto Serif CJK SC" w:eastAsia="Noto Serif CJK SC" w:cs="Noto Serif CJK SC"/>
                <w:color w:val="000000"/>
                <w:lang w:val="pt-BR" w:eastAsia="zh-CN" w:bidi="pt-BR"/>
              </w:rPr>
              <w:t>失瘏” [</w:t>
            </w: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leitura incerta preservada] e morte prematura do feto; morte por perda de sangue.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14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Aniversário do patriarca Chunyang; ronda dos Quatro Reis Celestiais.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Redução da duração da vida.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15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Lua cheia; aniversário do patriarca Zhongli; ronda dos Quatro Reis Celestiais.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Perda de um ji.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16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Abertura dos celeiros do Céu e da Terra.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Diminuição da longevidade.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17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Aniversário do Rei que Faz Girar a Roda, do décimo tribunal.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Perda de um ji.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18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Abertura dos celeiros do Céu e da Terra; aniversário do Grande Imperador Ziwei.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Redução da duração da vida.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20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Aniversário da Santa Mãe da Luz dos Olhos.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Sem indicação própria.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23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Ronda dos Quatro Reis Celestiais.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Sem indicação própria.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25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Fim do mês lunar.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Redução da duração da vida.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27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Descida das divindades de Dou.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Perda de um ji.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28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O espírito do corpo humano está na região genital.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Doença.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29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Ronda dos Quatro Reis Celestiais.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Sem indicação própria.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30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Fim do mês lunar; Siming apresenta seu relatório; ronda dos Quatro Reis Celestiais (quando o mês tem 29 dias, observar a abstinência no dia 29).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Redução da duração da vida.</w:t>
            </w:r>
            <w:bookmarkEnd w:id="23"/>
          </w:p>
        </w:tc>
      </w:tr>
    </w:tbl>
    <w:p>
      <w:pPr>
        <w:pStyle w:val="Heading2"/>
        <w:pageBreakBefore/>
      </w:pPr>
      <w:bookmarkStart w:id="25" w:name="b6dabe9fd6cb16198931c00010256bf"/>
      <w:bookmarkStart w:id="24" w:name="b742650f394f3519337b5f7ae1d2673"/>
      <w:bookmarkEnd w:id="24"/>
      <w:r>
        <w:rPr>
          <w:rFonts w:ascii="Noto Serif" w:hAnsi="Noto Serif" w:eastAsia="Noto Serif CJK SC" w:cs="Noto Serif"/>
          <w:color w:val="000000"/>
          <w:lang w:val="pt-BR" w:eastAsia="zh-CN" w:bidi="pt-BR"/>
        </w:rPr>
        <w:t>5º mês lunar</w:t>
      </w:r>
      <w:bookmarkEnd w:id="25"/>
    </w:p>
    <w:tbl>
      <w:tblPr>
        <w:tblW w:type="dxa" w:w="5556"/>
        <w:jc w:val="center"/>
        <w:tblLayout w:type="fixed"/>
        <w:tblLook w:firstColumn="1" w:firstRow="1" w:lastColumn="0" w:lastRow="0" w:noHBand="0" w:noVBand="1" w:val="04A0"/>
        <w:tblBorders>
          <w:top w:val="single" w:sz="4" w:color="777777"/>
          <w:left w:val="single" w:sz="4" w:color="777777"/>
          <w:bottom w:val="single" w:sz="4" w:color="777777"/>
          <w:right w:val="single" w:sz="4" w:color="777777"/>
          <w:insideH w:val="single" w:sz="4" w:color="777777"/>
          <w:insideV w:val="single" w:sz="4" w:color="777777"/>
        </w:tblBorders>
        <w:tblCellMar>
          <w:top w:w="65" w:type="dxa"/>
          <w:left w:w="75" w:type="dxa"/>
          <w:bottom w:w="65" w:type="dxa"/>
          <w:right w:w="75" w:type="dxa"/>
        </w:tblCellMar>
      </w:tblPr>
      <w:tblGrid>
        <w:gridCol w:w="889"/>
        <w:gridCol w:w="2556"/>
        <w:gridCol w:w="2111"/>
      </w:tblGrid>
      <w:tr>
        <w:trPr>
          <w:cantSplit/>
          <w:tblHeader/>
        </w:trPr>
        <w:tc>
          <w:tcPr>
            <w:tcW w:type="dxa" w:w="889"/>
            <w:vAlign w:val="center"/>
            <w:shd w:fill="EEEEEE" w:val="clear"/>
          </w:tcPr>
          <w:p>
            <w:pPr>
              <w:pStyle w:val="BookTable"/>
            </w:pPr>
            <w:bookmarkStart w:id="26" w:name="b3ca921bd5401a3c70c0f68739b7406"/>
            <w:r>
              <w:rPr>
                <w:rFonts w:ascii="Noto Serif" w:hAnsi="Noto Serif" w:eastAsia="Noto Serif CJK SC" w:cs="Noto Serif"/>
                <w:color w:val="000000"/>
                <w:b w:val="1"/>
                <w:bCs w:val="1"/>
                <w:lang w:val="pt-BR" w:eastAsia="zh-CN" w:bidi="pt-BR"/>
              </w:rPr>
              <w:t>Dia</w:t>
            </w:r>
          </w:p>
        </w:tc>
        <w:tc>
          <w:tcPr>
            <w:tcW w:type="dxa" w:w="2556"/>
            <w:vAlign w:val="center"/>
            <w:shd w:fill="EEEEEE" w:val="clea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b w:val="1"/>
                <w:bCs w:val="1"/>
                <w:lang w:val="pt-BR" w:eastAsia="zh-CN" w:bidi="pt-BR"/>
              </w:rPr>
              <w:t>Motivos da abstinência na fonte</w:t>
            </w:r>
          </w:p>
        </w:tc>
        <w:tc>
          <w:tcPr>
            <w:tcW w:type="dxa" w:w="2111"/>
            <w:vAlign w:val="center"/>
            <w:shd w:fill="EEEEEE" w:val="clea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b w:val="1"/>
                <w:bCs w:val="1"/>
                <w:lang w:val="pt-BR" w:eastAsia="zh-CN" w:bidi="pt-BR"/>
              </w:rPr>
              <w:t>Consequências atribuídas pela fonte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1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Lua nova; aniversário do Grande Imperador Nanji Changsheng, divindade da longevidade.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Perda de um ji.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3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Descida das divindades de Dou.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Perda de um ji.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5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Celebração Dila, dedicada à Terra; os Cinco Imperadores avaliam e fixam os cargos e títulos das pessoas; um dos Nove Dias Venenosos; dia interdito de Yang Gong.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Redução dos benefícios destinados à pessoa e perda de um ji; morte prematura e calamidades imprevisíveis.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6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Um dos Nove Dias Venenosos; dia de jejum ritual do Trovão.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Morte prematura e calamidades imprevisíveis.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7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Um dos Nove Dias Venenosos.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Morte prematura e calamidades imprevisíveis.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8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Aniversário da divindade dos Cinco Caminhos do Sul; ronda dos Quatro Reis Celestiais.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Sem indicação própria.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11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Abertura dos celeiros celestiais; aniversário do chefe de todos os deuses das cidades sob o Céu.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Diminuição da longevidade.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12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Aniversário do senhor Bingling.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Sem indicação própria.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13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Manifestação do santo Guan.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Redução dos benefícios destinados à pessoa e perda de um ji.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14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Ronda dos Quatro Reis Celestiais; no período zi da noite, o Céu e a Terra entram em harmonia.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Morte de ambos os cônjuges no prazo de três anos.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15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Lua cheia; um dos Nove Dias Venenosos; ronda dos Quatro Reis Celestiais.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Perda de um ji; morte prematura e calamidades imprevisíveis.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16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Um dos Nove Dias Venenosos; ocasião em que a energia primordial do Céu e da Terra gera todos os seres.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Morte de ambos os cônjuges no prazo de três anos.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17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Um dos Nove Dias Venenosos.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Morte prematura e calamidades imprevisíveis.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18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Aniversário do mestre celestial Zhang.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Sem indicação própria.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22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Aniversário da divindade Xiao'e.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Perda de um ji.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23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Ronda dos Quatro Reis Celestiais.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Sem indicação própria.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25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Um dos Nove Dias Venenosos; dia de fim do mês lunar.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Morte prematura e calamidades imprevisíveis.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26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Um dos Nove Dias Venenosos.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Morte prematura e calamidades imprevisíveis.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27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Um dos Nove Dias Venenosos; descida das divindades de Dou.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Morte prematura e calamidades imprevisíveis.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28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O espírito do corpo humano está na região genital.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Doença.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29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Ronda dos Quatro Reis Celestiais.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Sem indicação própria.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30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Fim do mês lunar; Siming apresenta seu relatório; ronda dos Quatro Reis Celestiais (nos meses de 29 dias, observar a abstinência no dia 29).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Redução da duração da vida.</w:t>
            </w:r>
            <w:bookmarkEnd w:id="26"/>
          </w:p>
        </w:tc>
      </w:tr>
    </w:tbl>
    <w:p>
      <w:pPr>
        <w:pStyle w:val="BookFirst"/>
      </w:pPr>
      <w:bookmarkStart w:id="27" w:name="b7d6a407cff54e8b4f54e0f3196a4b8"/>
      <w:r>
        <w:rPr>
          <w:rFonts w:ascii="Noto Serif" w:hAnsi="Noto Serif" w:eastAsia="Noto Serif CJK SC" w:cs="Noto Serif"/>
          <w:color w:val="000000"/>
          <w:lang w:val="pt-BR" w:eastAsia="zh-CN" w:bidi="pt-BR"/>
        </w:rPr>
        <w:t>Nota da fonte: considera-se apropriado manter a abstinência durante todo este mês.</w:t>
      </w:r>
      <w:bookmarkEnd w:id="27"/>
    </w:p>
    <w:p>
      <w:pPr>
        <w:pStyle w:val="Heading2"/>
        <w:pageBreakBefore/>
      </w:pPr>
      <w:bookmarkStart w:id="29" w:name="be5fcafaac1934fbb8ca185140d98b6"/>
      <w:bookmarkStart w:id="28" w:name="b8bb191bebf0fc0873023bf871e9307"/>
      <w:bookmarkEnd w:id="28"/>
      <w:r>
        <w:rPr>
          <w:rFonts w:ascii="Noto Serif" w:hAnsi="Noto Serif" w:eastAsia="Noto Serif CJK SC" w:cs="Noto Serif"/>
          <w:color w:val="000000"/>
          <w:lang w:val="pt-BR" w:eastAsia="zh-CN" w:bidi="pt-BR"/>
        </w:rPr>
        <w:t>6º mês lunar</w:t>
      </w:r>
      <w:bookmarkEnd w:id="29"/>
    </w:p>
    <w:tbl>
      <w:tblPr>
        <w:tblW w:type="dxa" w:w="5556"/>
        <w:jc w:val="center"/>
        <w:tblLayout w:type="fixed"/>
        <w:tblLook w:firstColumn="1" w:firstRow="1" w:lastColumn="0" w:lastRow="0" w:noHBand="0" w:noVBand="1" w:val="04A0"/>
        <w:tblBorders>
          <w:top w:val="single" w:sz="4" w:color="777777"/>
          <w:left w:val="single" w:sz="4" w:color="777777"/>
          <w:bottom w:val="single" w:sz="4" w:color="777777"/>
          <w:right w:val="single" w:sz="4" w:color="777777"/>
          <w:insideH w:val="single" w:sz="4" w:color="777777"/>
          <w:insideV w:val="single" w:sz="4" w:color="777777"/>
        </w:tblBorders>
        <w:tblCellMar>
          <w:top w:w="65" w:type="dxa"/>
          <w:left w:w="75" w:type="dxa"/>
          <w:bottom w:w="65" w:type="dxa"/>
          <w:right w:w="75" w:type="dxa"/>
        </w:tblCellMar>
      </w:tblPr>
      <w:tblGrid>
        <w:gridCol w:w="889"/>
        <w:gridCol w:w="2556"/>
        <w:gridCol w:w="2111"/>
      </w:tblGrid>
      <w:tr>
        <w:trPr>
          <w:cantSplit/>
          <w:tblHeader/>
        </w:trPr>
        <w:tc>
          <w:tcPr>
            <w:tcW w:type="dxa" w:w="889"/>
            <w:vAlign w:val="center"/>
            <w:shd w:fill="EEEEEE" w:val="clear"/>
          </w:tcPr>
          <w:p>
            <w:pPr>
              <w:pStyle w:val="BookTable"/>
            </w:pPr>
            <w:bookmarkStart w:id="30" w:name="bc031a549be2ccb25e208a9d679caab"/>
            <w:r>
              <w:rPr>
                <w:rFonts w:ascii="Noto Serif" w:hAnsi="Noto Serif" w:eastAsia="Noto Serif CJK SC" w:cs="Noto Serif"/>
                <w:color w:val="000000"/>
                <w:b w:val="1"/>
                <w:bCs w:val="1"/>
                <w:lang w:val="pt-BR" w:eastAsia="zh-CN" w:bidi="pt-BR"/>
              </w:rPr>
              <w:t>Dia</w:t>
            </w:r>
          </w:p>
        </w:tc>
        <w:tc>
          <w:tcPr>
            <w:tcW w:type="dxa" w:w="2556"/>
            <w:vAlign w:val="center"/>
            <w:shd w:fill="EEEEEE" w:val="clea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b w:val="1"/>
                <w:bCs w:val="1"/>
                <w:lang w:val="pt-BR" w:eastAsia="zh-CN" w:bidi="pt-BR"/>
              </w:rPr>
              <w:t>Motivos da abstinência na fonte</w:t>
            </w:r>
          </w:p>
        </w:tc>
        <w:tc>
          <w:tcPr>
            <w:tcW w:type="dxa" w:w="2111"/>
            <w:vAlign w:val="center"/>
            <w:shd w:fill="EEEEEE" w:val="clea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b w:val="1"/>
                <w:bCs w:val="1"/>
                <w:lang w:val="pt-BR" w:eastAsia="zh-CN" w:bidi="pt-BR"/>
              </w:rPr>
              <w:t>Consequências atribuídas pela fonte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1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Lua nova.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Perda de um ji.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3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Descida das divindades de Dou; dia interdito de Yang Gong.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Perda de um ji.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4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Giro da grande Roda do Dharma no continente meridional de Jambudvipa.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Diminuição da longevidade.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6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Abertura dos celeiros celestiais; dia de jejum ritual do Trovão.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Diminuição da longevidade.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8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Ronda dos Quatro Reis Celestiais.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Sem indicação própria.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10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Aniversário do Tathagata Jinsu.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Sem indicação própria.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13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Aniversário do Rei Dragão dos Poços e das Fontes.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Sem indicação própria.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14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Ronda dos Quatro Reis Celestiais.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Sem indicação própria.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15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Lua cheia; ronda dos Quatro Reis Celestiais.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Perda de um ji.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19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Nirvana de Guanyin, o Grande Ser (dia de sua realização do Caminho).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Perda de um ji.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23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Aniversário do Deus do Fogo do Sul; ronda dos Quatro Reis Celestiais.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Calamidade causada por incêndio.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24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Aniversário do Ancestral do Trovão; aniversário do Imperador Guan.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Redução dos benefícios destinados à pessoa e perda de um ji.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25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Dia de fim do mês lunar.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Redução da duração da vida.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27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Descida das divindades de Dou.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Perda de um ji.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28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O espírito do corpo humano está na região genital.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Doença.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29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Ronda dos Quatro Reis Celestiais.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Sem indicação própria.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30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Fim do mês lunar; Siming apresenta seu relatório; ronda dos Quatro Reis Celestiais (nos meses de 29 dias, observar a abstinência no dia 29).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Redução da duração da vida.</w:t>
            </w:r>
            <w:bookmarkEnd w:id="30"/>
          </w:p>
        </w:tc>
      </w:tr>
    </w:tbl>
    <w:p>
      <w:pPr>
        <w:pStyle w:val="Heading2"/>
        <w:pageBreakBefore/>
      </w:pPr>
      <w:bookmarkStart w:id="32" w:name="b63ce77911288e688e5ad5f3a1a8072"/>
      <w:bookmarkStart w:id="31" w:name="b1335fca53a101194bba99aa4acbae5"/>
      <w:bookmarkEnd w:id="31"/>
      <w:r>
        <w:rPr>
          <w:rFonts w:ascii="Noto Serif" w:hAnsi="Noto Serif" w:eastAsia="Noto Serif CJK SC" w:cs="Noto Serif"/>
          <w:color w:val="000000"/>
          <w:lang w:val="pt-BR" w:eastAsia="zh-CN" w:bidi="pt-BR"/>
        </w:rPr>
        <w:t>7º mês lunar</w:t>
      </w:r>
      <w:bookmarkEnd w:id="32"/>
    </w:p>
    <w:tbl>
      <w:tblPr>
        <w:tblW w:type="dxa" w:w="5556"/>
        <w:jc w:val="center"/>
        <w:tblLayout w:type="fixed"/>
        <w:tblLook w:firstColumn="1" w:firstRow="1" w:lastColumn="0" w:lastRow="0" w:noHBand="0" w:noVBand="1" w:val="04A0"/>
        <w:tblBorders>
          <w:top w:val="single" w:sz="4" w:color="777777"/>
          <w:left w:val="single" w:sz="4" w:color="777777"/>
          <w:bottom w:val="single" w:sz="4" w:color="777777"/>
          <w:right w:val="single" w:sz="4" w:color="777777"/>
          <w:insideH w:val="single" w:sz="4" w:color="777777"/>
          <w:insideV w:val="single" w:sz="4" w:color="777777"/>
        </w:tblBorders>
        <w:tblCellMar>
          <w:top w:w="65" w:type="dxa"/>
          <w:left w:w="75" w:type="dxa"/>
          <w:bottom w:w="65" w:type="dxa"/>
          <w:right w:w="75" w:type="dxa"/>
        </w:tblCellMar>
      </w:tblPr>
      <w:tblGrid>
        <w:gridCol w:w="889"/>
        <w:gridCol w:w="2556"/>
        <w:gridCol w:w="2111"/>
      </w:tblGrid>
      <w:tr>
        <w:trPr>
          <w:cantSplit/>
          <w:tblHeader/>
        </w:trPr>
        <w:tc>
          <w:tcPr>
            <w:tcW w:type="dxa" w:w="889"/>
            <w:vAlign w:val="center"/>
            <w:shd w:fill="EEEEEE" w:val="clear"/>
          </w:tcPr>
          <w:p>
            <w:pPr>
              <w:pStyle w:val="BookTable"/>
            </w:pPr>
            <w:bookmarkStart w:id="33" w:name="bcaa9dd8e02a90d6a72b90bd0dddadd"/>
            <w:r>
              <w:rPr>
                <w:rFonts w:ascii="Noto Serif" w:hAnsi="Noto Serif" w:eastAsia="Noto Serif CJK SC" w:cs="Noto Serif"/>
                <w:color w:val="000000"/>
                <w:b w:val="1"/>
                <w:bCs w:val="1"/>
                <w:lang w:val="pt-BR" w:eastAsia="zh-CN" w:bidi="pt-BR"/>
              </w:rPr>
              <w:t>Dia</w:t>
            </w:r>
          </w:p>
        </w:tc>
        <w:tc>
          <w:tcPr>
            <w:tcW w:type="dxa" w:w="2556"/>
            <w:vAlign w:val="center"/>
            <w:shd w:fill="EEEEEE" w:val="clea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b w:val="1"/>
                <w:bCs w:val="1"/>
                <w:lang w:val="pt-BR" w:eastAsia="zh-CN" w:bidi="pt-BR"/>
              </w:rPr>
              <w:t>Motivos da abstinência na fonte</w:t>
            </w:r>
          </w:p>
        </w:tc>
        <w:tc>
          <w:tcPr>
            <w:tcW w:type="dxa" w:w="2111"/>
            <w:vAlign w:val="center"/>
            <w:shd w:fill="EEEEEE" w:val="clea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b w:val="1"/>
                <w:bCs w:val="1"/>
                <w:lang w:val="pt-BR" w:eastAsia="zh-CN" w:bidi="pt-BR"/>
              </w:rPr>
              <w:t>Consequências atribuídas pela fonte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1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Fim do mês lunar; dia interdito de Yang Gong.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Perda de um ji.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3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Descida das divindades de Dou.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Perda de um ji.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5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Dia da Assembleia Intermediária; em outra versão, no dia 7.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Diminuição da longevidade.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6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Dia de jejum ritual do Trovão.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Redução da duração da vida.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7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Celebração Daode, da Via e da Virtude; os Cinco Imperadores examinam o bem e o mal praticados pelos vivos; aniversário de Kuixing.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Redução dos benefícios destinados à pessoa e perda de um ji.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8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Ronda dos Quatro Reis Celestiais.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Sem indicação própria.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10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Dia do veneno yin: interdição rigorosa.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Sem indicação própria.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12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Aniversário do imortal Tan Changzhen.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Sem indicação própria.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13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Aniversário do bodhisattva Mahasthamaprapta.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Redução da duração da vida.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14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Descida dos Três Oficiais; ronda dos Quatro Reis Celestiais.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Redução da duração da vida.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15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Lua cheia; descida dos Três Oficiais; o Oficial da Terra examina os registros; ronda dos Quatro Reis Celestiais.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Perda de um ji.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16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Descida dos Três Oficiais.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Redução da duração da vida.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18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Aniversário da Rainha Mãe do Ocidente.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Perda de um ji.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19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Aniversário de Taisui, a divindade que preside o ano.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Perda de um ji.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22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Aniversário do Deus da Riqueza que Aumenta a Fortuna.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Redução dos benefícios destinados à pessoa e perda de um ji.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23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Ronda dos Quatro Reis Celestiais.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Sem indicação própria.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25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Fim do mês lunar.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Redução da duração da vida.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27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Descida das divindades de Dou.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Perda de um ji.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28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O espírito do corpo humano está na região genital.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Doença.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29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Dia interdito de Yang Gong; ronda dos Quatro Reis Celestiais.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Sem indicação própria.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30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Aniversário do bodhisattva Kshitigarbha; fim do mês lunar; Siming apresenta seu relatório; ronda dos Quatro Reis Celestiais (nos meses de 29 dias, observar a abstinência no dia 29).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Perda de um ji; redução da duração da vida.</w:t>
            </w:r>
            <w:bookmarkEnd w:id="33"/>
          </w:p>
        </w:tc>
      </w:tr>
    </w:tbl>
    <w:p>
      <w:pPr>
        <w:pStyle w:val="Heading2"/>
        <w:pageBreakBefore/>
      </w:pPr>
      <w:bookmarkStart w:id="35" w:name="b5924b460af14f41f569b2c37929fca"/>
      <w:bookmarkStart w:id="34" w:name="b74e49c58d0dc057dc1c8286e52e19d"/>
      <w:bookmarkEnd w:id="34"/>
      <w:r>
        <w:rPr>
          <w:rFonts w:ascii="Noto Serif" w:hAnsi="Noto Serif" w:eastAsia="Noto Serif CJK SC" w:cs="Noto Serif"/>
          <w:color w:val="000000"/>
          <w:lang w:val="pt-BR" w:eastAsia="zh-CN" w:bidi="pt-BR"/>
        </w:rPr>
        <w:t>8º mês lunar</w:t>
      </w:r>
      <w:bookmarkEnd w:id="35"/>
    </w:p>
    <w:tbl>
      <w:tblPr>
        <w:tblW w:type="dxa" w:w="5556"/>
        <w:jc w:val="center"/>
        <w:tblLayout w:type="fixed"/>
        <w:tblLook w:firstColumn="1" w:firstRow="1" w:lastColumn="0" w:lastRow="0" w:noHBand="0" w:noVBand="1" w:val="04A0"/>
        <w:tblBorders>
          <w:top w:val="single" w:sz="4" w:color="777777"/>
          <w:left w:val="single" w:sz="4" w:color="777777"/>
          <w:bottom w:val="single" w:sz="4" w:color="777777"/>
          <w:right w:val="single" w:sz="4" w:color="777777"/>
          <w:insideH w:val="single" w:sz="4" w:color="777777"/>
          <w:insideV w:val="single" w:sz="4" w:color="777777"/>
        </w:tblBorders>
        <w:tblCellMar>
          <w:top w:w="65" w:type="dxa"/>
          <w:left w:w="75" w:type="dxa"/>
          <w:bottom w:w="65" w:type="dxa"/>
          <w:right w:w="75" w:type="dxa"/>
        </w:tblCellMar>
      </w:tblPr>
      <w:tblGrid>
        <w:gridCol w:w="889"/>
        <w:gridCol w:w="2556"/>
        <w:gridCol w:w="2111"/>
      </w:tblGrid>
      <w:tr>
        <w:trPr>
          <w:cantSplit/>
          <w:tblHeader/>
        </w:trPr>
        <w:tc>
          <w:tcPr>
            <w:tcW w:type="dxa" w:w="889"/>
            <w:vAlign w:val="center"/>
            <w:shd w:fill="EEEEEE" w:val="clear"/>
          </w:tcPr>
          <w:p>
            <w:pPr>
              <w:pStyle w:val="BookTable"/>
            </w:pPr>
            <w:bookmarkStart w:id="36" w:name="bae348663c03327e57fdebd3b2cfdae"/>
            <w:r>
              <w:rPr>
                <w:rFonts w:ascii="Noto Serif" w:hAnsi="Noto Serif" w:eastAsia="Noto Serif CJK SC" w:cs="Noto Serif"/>
                <w:color w:val="000000"/>
                <w:b w:val="1"/>
                <w:bCs w:val="1"/>
                <w:lang w:val="pt-BR" w:eastAsia="zh-CN" w:bidi="pt-BR"/>
              </w:rPr>
              <w:t>Dia</w:t>
            </w:r>
          </w:p>
        </w:tc>
        <w:tc>
          <w:tcPr>
            <w:tcW w:type="dxa" w:w="2556"/>
            <w:vAlign w:val="center"/>
            <w:shd w:fill="EEEEEE" w:val="clea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b w:val="1"/>
                <w:bCs w:val="1"/>
                <w:lang w:val="pt-BR" w:eastAsia="zh-CN" w:bidi="pt-BR"/>
              </w:rPr>
              <w:t>Motivos da abstinência na fonte</w:t>
            </w:r>
          </w:p>
        </w:tc>
        <w:tc>
          <w:tcPr>
            <w:tcW w:type="dxa" w:w="2111"/>
            <w:vAlign w:val="center"/>
            <w:shd w:fill="EEEEEE" w:val="clea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b w:val="1"/>
                <w:bCs w:val="1"/>
                <w:lang w:val="pt-BR" w:eastAsia="zh-CN" w:bidi="pt-BR"/>
              </w:rPr>
              <w:t>Consequências atribuídas pela fonte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1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Lua nova; aniversário do imortal Xu.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Perda de um ji.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3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Descida das divindades de Dou; aniversário de Beidou; aniversário do Deus do Fogão, administrador do destino.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Redução dos benefícios destinados à pessoa e perda de um ji; calamidade causada por incêndio.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5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Aniversário do Grande Imperador do Som do Trovão.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Perda de um ji.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6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Jejum ritual do Trovão.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Redução da duração da vida.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8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Ronda dos Quatro Reis Celestiais.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Sem indicação própria.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10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Aniversário do Grande Imperador de Beidou.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Sem indicação própria.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12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Aniversário da divindade dos Cinco Caminhos do Oeste.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Sem indicação própria.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14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Ronda dos Quatro Reis Celestiais.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Sem indicação própria.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15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Lua cheia; Taiyin, a divindade lunar, comparece em audiência perante a Origem (deve-se queimar incenso e manter vigília); ronda dos Quatro Reis Celestiais.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Morte súbita.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16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Descida do imortal investigador da repartição celestial.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Pobreza e morte prematura.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18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Ocasião em que seres celestiais e humanos promovem a felicidade (deve-se observar o jejum ritual e a abstinência, concentrando o pensamento em coisas auspiciosas).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Sem indicação própria.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23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Ronda dos Quatro Reis Celestiais; aniversário de Zhang, marquês Huan de Han, honrado como rei Xian.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Sem indicação própria.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24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Aniversário da esposa do Deus do Fogão.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Sem indicação própria.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25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Dia de fim do mês lunar.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Redução da duração da vida.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27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Descida das divindades de Dou; aniversário de Confúcio, o Mestre Sábio por Excelência; dia interdito de Yang Gong.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Redução dos benefícios destinados à pessoa e perda de um ji.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28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O espírito do corpo humano está na região genital; reunião dos Quatro Céus para tratar de seus assuntos.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Doença.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29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Ronda dos Quatro Reis Celestiais.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Sem indicação própria.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30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Fim do mês lunar; Siming apresenta seu relatório; as divindades fazem suas avaliações; ronda dos Quatro Reis Celestiais (nos meses de 29 dias, observar a abstinência no dia 29).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Perda de um ji; perda de um suan.</w:t>
            </w:r>
            <w:bookmarkEnd w:id="36"/>
          </w:p>
        </w:tc>
      </w:tr>
    </w:tbl>
    <w:p>
      <w:pPr>
        <w:pStyle w:val="Heading2"/>
        <w:pageBreakBefore/>
      </w:pPr>
      <w:bookmarkStart w:id="38" w:name="ba9cebc8ebeba1296bb21461745104a"/>
      <w:bookmarkStart w:id="37" w:name="b312015be084afdecc71d031ef83f84"/>
      <w:bookmarkEnd w:id="37"/>
      <w:r>
        <w:rPr>
          <w:rFonts w:ascii="Noto Serif" w:hAnsi="Noto Serif" w:eastAsia="Noto Serif CJK SC" w:cs="Noto Serif"/>
          <w:color w:val="000000"/>
          <w:lang w:val="pt-BR" w:eastAsia="zh-CN" w:bidi="pt-BR"/>
        </w:rPr>
        <w:t>9º mês lunar</w:t>
      </w:r>
      <w:bookmarkEnd w:id="38"/>
    </w:p>
    <w:tbl>
      <w:tblPr>
        <w:tblW w:type="dxa" w:w="5556"/>
        <w:jc w:val="center"/>
        <w:tblLayout w:type="fixed"/>
        <w:tblLook w:firstColumn="1" w:firstRow="1" w:lastColumn="0" w:lastRow="0" w:noHBand="0" w:noVBand="1" w:val="04A0"/>
        <w:tblBorders>
          <w:top w:val="single" w:sz="4" w:color="777777"/>
          <w:left w:val="single" w:sz="4" w:color="777777"/>
          <w:bottom w:val="single" w:sz="4" w:color="777777"/>
          <w:right w:val="single" w:sz="4" w:color="777777"/>
          <w:insideH w:val="single" w:sz="4" w:color="777777"/>
          <w:insideV w:val="single" w:sz="4" w:color="777777"/>
        </w:tblBorders>
        <w:tblCellMar>
          <w:top w:w="65" w:type="dxa"/>
          <w:left w:w="75" w:type="dxa"/>
          <w:bottom w:w="65" w:type="dxa"/>
          <w:right w:w="75" w:type="dxa"/>
        </w:tblCellMar>
      </w:tblPr>
      <w:tblGrid>
        <w:gridCol w:w="889"/>
        <w:gridCol w:w="2556"/>
        <w:gridCol w:w="2111"/>
      </w:tblGrid>
      <w:tr>
        <w:trPr>
          <w:cantSplit/>
          <w:tblHeader/>
        </w:trPr>
        <w:tc>
          <w:tcPr>
            <w:tcW w:type="dxa" w:w="889"/>
            <w:vAlign w:val="center"/>
            <w:shd w:fill="EEEEEE" w:val="clear"/>
          </w:tcPr>
          <w:p>
            <w:pPr>
              <w:pStyle w:val="BookTable"/>
            </w:pPr>
            <w:bookmarkStart w:id="39" w:name="b155bd94752864e5cfda6fafc052292"/>
            <w:r>
              <w:rPr>
                <w:rFonts w:ascii="Noto Serif" w:hAnsi="Noto Serif" w:eastAsia="Noto Serif CJK SC" w:cs="Noto Serif"/>
                <w:color w:val="000000"/>
                <w:b w:val="1"/>
                <w:bCs w:val="1"/>
                <w:lang w:val="pt-BR" w:eastAsia="zh-CN" w:bidi="pt-BR"/>
              </w:rPr>
              <w:t>Dia</w:t>
            </w:r>
          </w:p>
        </w:tc>
        <w:tc>
          <w:tcPr>
            <w:tcW w:type="dxa" w:w="2556"/>
            <w:vAlign w:val="center"/>
            <w:shd w:fill="EEEEEE" w:val="clea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b w:val="1"/>
                <w:bCs w:val="1"/>
                <w:lang w:val="pt-BR" w:eastAsia="zh-CN" w:bidi="pt-BR"/>
              </w:rPr>
              <w:t>Motivos da abstinência na fonte</w:t>
            </w:r>
          </w:p>
        </w:tc>
        <w:tc>
          <w:tcPr>
            <w:tcW w:type="dxa" w:w="2111"/>
            <w:vAlign w:val="center"/>
            <w:shd w:fill="EEEEEE" w:val="clea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b w:val="1"/>
                <w:bCs w:val="1"/>
                <w:lang w:val="pt-BR" w:eastAsia="zh-CN" w:bidi="pt-BR"/>
              </w:rPr>
              <w:t>Consequências atribuídas pela fonte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1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Lua nova; aniversário de Nandou; do dia 1 ao dia 9, descem as nove estrelas de Beidou (em todos esses nove dias, observar jejum ritual e abstinência).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Redução dos benefícios destinados à pessoa e perda de um ji; perda de um ji.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3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Aniversário das Cinco Divindades das Epidemias.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Sem indicação própria.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8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Ronda dos Quatro Reis Celestiais; aniversário de Doumu, Mãe de Dou; aniversário do Grande Imperador de Fengdu; ascensão do Imperador do Céu Misterioso.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Redução dos benefícios destinados à pessoa e perda de um ji.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10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Descida de Doumu, Mãe de Dou.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Perda de um ji.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11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Deve-se observar a abstinência.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Sem indicação própria.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13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Aniversário da venerável divindade Meng Po.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Sem indicação própria.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14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Ronda dos Quatro Reis Celestiais.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Sem indicação própria.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15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Lua cheia; ronda dos Quatro Reis Celestiais.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Perda de um ji.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17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Aniversário do Grande Rei Jinlong Si (</w:t>
            </w:r>
            <w:r>
              <w:rPr>
                <w:rFonts w:ascii="Noto Serif CJK SC" w:hAnsi="Noto Serif CJK SC" w:eastAsia="Noto Serif CJK SC" w:cs="Noto Serif CJK SC"/>
                <w:color w:val="000000"/>
                <w:lang w:val="pt-BR" w:eastAsia="zh-CN" w:bidi="pt-BR"/>
              </w:rPr>
              <w:t>金龙四大王).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Calamidade ligada à água.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19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Encontro dos palácios do Sol e da Lua; dia em que o bodhisattva Guanyin renunciou à vida familiar.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Redução da duração da vida.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23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Ronda dos Quatro Reis Celestiais.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Sem indicação própria.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25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Dia de fim do mês lunar; dia interdito de Yang Gong.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Redução da duração da vida.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27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Descida das divindades de Dou.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Perda de um ji.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28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O espírito do corpo humano está na região genital.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Doença.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29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Ronda dos Quatro Reis Celestiais.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Sem indicação própria.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30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Aniversário do Buda da Medicina, da Luz de Lápis-Lazúli; dia de fim do mês lunar; Siming apresenta seu relatório; ronda dos Quatro Reis Celestiais (nos meses de 29 dias, observar a abstinência no dia 29).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Doença grave; redução da duração da vida.</w:t>
            </w:r>
            <w:bookmarkEnd w:id="39"/>
          </w:p>
        </w:tc>
      </w:tr>
    </w:tbl>
    <w:p>
      <w:pPr>
        <w:pStyle w:val="Heading2"/>
        <w:pageBreakBefore/>
      </w:pPr>
      <w:bookmarkStart w:id="41" w:name="bde0a65917d76739f9bcdcb338e3b93"/>
      <w:bookmarkStart w:id="40" w:name="b53547593e971c44b82c542314bf300"/>
      <w:bookmarkEnd w:id="40"/>
      <w:r>
        <w:rPr>
          <w:rFonts w:ascii="Noto Serif" w:hAnsi="Noto Serif" w:eastAsia="Noto Serif CJK SC" w:cs="Noto Serif"/>
          <w:color w:val="000000"/>
          <w:lang w:val="pt-BR" w:eastAsia="zh-CN" w:bidi="pt-BR"/>
        </w:rPr>
        <w:t>10º mês lunar</w:t>
      </w:r>
      <w:bookmarkEnd w:id="41"/>
    </w:p>
    <w:tbl>
      <w:tblPr>
        <w:tblW w:type="dxa" w:w="5556"/>
        <w:jc w:val="center"/>
        <w:tblLayout w:type="fixed"/>
        <w:tblLook w:firstColumn="1" w:firstRow="1" w:lastColumn="0" w:lastRow="0" w:noHBand="0" w:noVBand="1" w:val="04A0"/>
        <w:tblBorders>
          <w:top w:val="single" w:sz="4" w:color="777777"/>
          <w:left w:val="single" w:sz="4" w:color="777777"/>
          <w:bottom w:val="single" w:sz="4" w:color="777777"/>
          <w:right w:val="single" w:sz="4" w:color="777777"/>
          <w:insideH w:val="single" w:sz="4" w:color="777777"/>
          <w:insideV w:val="single" w:sz="4" w:color="777777"/>
        </w:tblBorders>
        <w:tblCellMar>
          <w:top w:w="65" w:type="dxa"/>
          <w:left w:w="75" w:type="dxa"/>
          <w:bottom w:w="65" w:type="dxa"/>
          <w:right w:w="75" w:type="dxa"/>
        </w:tblCellMar>
      </w:tblPr>
      <w:tblGrid>
        <w:gridCol w:w="889"/>
        <w:gridCol w:w="2556"/>
        <w:gridCol w:w="2111"/>
      </w:tblGrid>
      <w:tr>
        <w:trPr>
          <w:cantSplit/>
          <w:tblHeader/>
        </w:trPr>
        <w:tc>
          <w:tcPr>
            <w:tcW w:type="dxa" w:w="889"/>
            <w:vAlign w:val="center"/>
            <w:shd w:fill="EEEEEE" w:val="clear"/>
          </w:tcPr>
          <w:p>
            <w:pPr>
              <w:pStyle w:val="BookTable"/>
            </w:pPr>
            <w:bookmarkStart w:id="42" w:name="b1ef4738452e6e768fb13469b4a4618"/>
            <w:r>
              <w:rPr>
                <w:rFonts w:ascii="Noto Serif" w:hAnsi="Noto Serif" w:eastAsia="Noto Serif CJK SC" w:cs="Noto Serif"/>
                <w:color w:val="000000"/>
                <w:b w:val="1"/>
                <w:bCs w:val="1"/>
                <w:lang w:val="pt-BR" w:eastAsia="zh-CN" w:bidi="pt-BR"/>
              </w:rPr>
              <w:t>Dia</w:t>
            </w:r>
          </w:p>
        </w:tc>
        <w:tc>
          <w:tcPr>
            <w:tcW w:type="dxa" w:w="2556"/>
            <w:vAlign w:val="center"/>
            <w:shd w:fill="EEEEEE" w:val="clea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b w:val="1"/>
                <w:bCs w:val="1"/>
                <w:lang w:val="pt-BR" w:eastAsia="zh-CN" w:bidi="pt-BR"/>
              </w:rPr>
              <w:t>Motivos da abstinência na fonte</w:t>
            </w:r>
          </w:p>
        </w:tc>
        <w:tc>
          <w:tcPr>
            <w:tcW w:type="dxa" w:w="2111"/>
            <w:vAlign w:val="center"/>
            <w:shd w:fill="EEEEEE" w:val="clea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b w:val="1"/>
                <w:bCs w:val="1"/>
                <w:lang w:val="pt-BR" w:eastAsia="zh-CN" w:bidi="pt-BR"/>
              </w:rPr>
              <w:t>Consequências atribuídas pela fonte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1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Fim do mês lunar; celebração Minsuila; descida dos Quatro Reis Celestiais.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Perda de um ji; morte no prazo de um ano.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3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Descida das divindades de Dou; aniversário dos Três Mao.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Perda de um ji.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5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Dia da Assembleia Inferior; aniversário do patriarca Bodhidharma.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Diminuição da longevidade.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6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Inspeção da repartição celestial.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Perda de um ji.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8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Dia do nirvana de Buda: proibição rigorosa do desejo sexual; ronda dos Quatro Reis Celestiais.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Sem indicação própria.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10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Descida dos Quatro Reis Celestiais.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Morte no prazo de um ano.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11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Deve-se observar a abstinência.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Sem indicação própria.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14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Descida dos Três Oficiais; ronda dos Quatro Reis Celestiais.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Redução da duração da vida.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15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Lua cheia; descida dos Três Oficiais; no festival Xiayuan, a administração das Águas examina os registros; ronda dos Quatro Reis Celestiais.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Perda de um ji.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16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Descida dos Três Oficiais.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Redução da duração da vida.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23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Dia interdito de Yang Gong; ronda dos Quatro Reis Celestiais.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Sem indicação própria.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25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Dia de fim do mês lunar.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Redução da duração da vida.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27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Descida das divindades de Dou; descida do Grande Imperador Beiji Ziwei.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Perda de um ji.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28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O espírito do corpo humano está na região genital.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Doença.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29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Ronda dos Quatro Reis Celestiais.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Sem indicação própria.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30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Dia de fim do mês lunar; Siming apresenta seu relatório; ronda dos Quatro Reis Celestiais (nos meses de 29 dias, observar a abstinência no dia 29).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Redução da duração da vida.</w:t>
            </w:r>
            <w:bookmarkEnd w:id="42"/>
          </w:p>
        </w:tc>
      </w:tr>
    </w:tbl>
    <w:p>
      <w:pPr>
        <w:pStyle w:val="Heading2"/>
        <w:pageBreakBefore/>
      </w:pPr>
      <w:bookmarkStart w:id="44" w:name="b2936bce86d51db806af9faa4768acf"/>
      <w:bookmarkStart w:id="43" w:name="b8ce4a966d65e16ae370d2b150c5948"/>
      <w:bookmarkEnd w:id="43"/>
      <w:r>
        <w:rPr>
          <w:rFonts w:ascii="Noto Serif" w:hAnsi="Noto Serif" w:eastAsia="Noto Serif CJK SC" w:cs="Noto Serif"/>
          <w:color w:val="000000"/>
          <w:lang w:val="pt-BR" w:eastAsia="zh-CN" w:bidi="pt-BR"/>
        </w:rPr>
        <w:t>11º mês lunar</w:t>
      </w:r>
      <w:bookmarkEnd w:id="44"/>
    </w:p>
    <w:tbl>
      <w:tblPr>
        <w:tblW w:type="dxa" w:w="5556"/>
        <w:jc w:val="center"/>
        <w:tblLayout w:type="fixed"/>
        <w:tblLook w:firstColumn="1" w:firstRow="1" w:lastColumn="0" w:lastRow="0" w:noHBand="0" w:noVBand="1" w:val="04A0"/>
        <w:tblBorders>
          <w:top w:val="single" w:sz="4" w:color="777777"/>
          <w:left w:val="single" w:sz="4" w:color="777777"/>
          <w:bottom w:val="single" w:sz="4" w:color="777777"/>
          <w:right w:val="single" w:sz="4" w:color="777777"/>
          <w:insideH w:val="single" w:sz="4" w:color="777777"/>
          <w:insideV w:val="single" w:sz="4" w:color="777777"/>
        </w:tblBorders>
        <w:tblCellMar>
          <w:top w:w="65" w:type="dxa"/>
          <w:left w:w="75" w:type="dxa"/>
          <w:bottom w:w="65" w:type="dxa"/>
          <w:right w:w="75" w:type="dxa"/>
        </w:tblCellMar>
      </w:tblPr>
      <w:tblGrid>
        <w:gridCol w:w="889"/>
        <w:gridCol w:w="2556"/>
        <w:gridCol w:w="2111"/>
      </w:tblGrid>
      <w:tr>
        <w:trPr>
          <w:cantSplit/>
          <w:tblHeader/>
        </w:trPr>
        <w:tc>
          <w:tcPr>
            <w:tcW w:type="dxa" w:w="889"/>
            <w:vAlign w:val="center"/>
            <w:shd w:fill="EEEEEE" w:val="clear"/>
          </w:tcPr>
          <w:p>
            <w:pPr>
              <w:pStyle w:val="BookTable"/>
            </w:pPr>
            <w:bookmarkStart w:id="45" w:name="b0a16221f45bd6e9823b4ee33cf1c33"/>
            <w:r>
              <w:rPr>
                <w:rFonts w:ascii="Noto Serif" w:hAnsi="Noto Serif" w:eastAsia="Noto Serif CJK SC" w:cs="Noto Serif"/>
                <w:color w:val="000000"/>
                <w:b w:val="1"/>
                <w:bCs w:val="1"/>
                <w:lang w:val="pt-BR" w:eastAsia="zh-CN" w:bidi="pt-BR"/>
              </w:rPr>
              <w:t>Dia</w:t>
            </w:r>
          </w:p>
        </w:tc>
        <w:tc>
          <w:tcPr>
            <w:tcW w:type="dxa" w:w="2556"/>
            <w:vAlign w:val="center"/>
            <w:shd w:fill="EEEEEE" w:val="clea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b w:val="1"/>
                <w:bCs w:val="1"/>
                <w:lang w:val="pt-BR" w:eastAsia="zh-CN" w:bidi="pt-BR"/>
              </w:rPr>
              <w:t>Motivos da abstinência na fonte</w:t>
            </w:r>
          </w:p>
        </w:tc>
        <w:tc>
          <w:tcPr>
            <w:tcW w:type="dxa" w:w="2111"/>
            <w:vAlign w:val="center"/>
            <w:shd w:fill="EEEEEE" w:val="clea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b w:val="1"/>
                <w:bCs w:val="1"/>
                <w:lang w:val="pt-BR" w:eastAsia="zh-CN" w:bidi="pt-BR"/>
              </w:rPr>
              <w:t>Consequências atribuídas pela fonte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1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Lua nova.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Perda de um ji.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3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Descida das divindades de Dou.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Perda de um ji.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4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Aniversário de Confúcio, o Mestre Sábio por Excelência.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Redução dos benefícios destinados à pessoa e perda de um ji.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6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Aniversário do Grande Imperador do Pico Ocidental.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Redução dos benefícios destinados à pessoa e perda de um ji.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8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Ronda dos Quatro Reis Celestiais.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Sem indicação própria.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11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Abertura dos celeiros celestiais; aniversário de Taiyi, Venerável Celestial que Livra do Sofrimento.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Perda de um ji.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14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Ronda dos Quatro Reis Celestiais.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Sem indicação própria.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15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Lua cheia; ronda dos Quatro Reis Celestiais; transgressão na primeira metade da noite; transgressão na segunda metade da noite.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Morte do homem; morte da mulher.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17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Aniversário de Buda Amitabha.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Sem indicação própria.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19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Aniversário da divindade do Palácio do Sol.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Calamidade extraordinária.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21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Dia interdito de Yang Gong.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Sem indicação própria.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23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Aniversário do imortal Zhang; ronda dos Quatro Reis Celestiais.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Fim da descendência.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25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Descida do dignitário investigador; dia de fim do mês lunar.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Grande desgraça.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26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Aniversário da divindade dos Cinco Caminhos do Norte.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Sem indicação própria.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27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Descida das divindades de Dou.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Perda de um ji.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28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O espírito do corpo humano está na região genital.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Doença.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29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Ronda dos Quatro Reis Celestiais.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Sem indicação própria.</w:t>
            </w:r>
          </w:p>
        </w:tc>
      </w:tr>
      <w:tr>
        <w:trPr>
          <w:cantSplit/>
        </w:trPr>
        <w:tc>
          <w:tcPr>
            <w:tcW w:type="dxa" w:w="8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30</w:t>
            </w:r>
          </w:p>
        </w:tc>
        <w:tc>
          <w:tcPr>
            <w:tcW w:type="dxa" w:w="2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Fim do mês lunar; Siming apresenta seu relatório; ronda dos Quatro Reis Celestiais (nos meses de 29 dias, observar a abstinência no dia 29).</w:t>
            </w:r>
          </w:p>
        </w:tc>
        <w:tc>
          <w:tcPr>
            <w:tcW w:type="dxa" w:w="2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Redução da duração da vida.</w:t>
            </w:r>
            <w:bookmarkEnd w:id="45"/>
          </w:p>
        </w:tc>
      </w:tr>
    </w:tbl>
    <w:p>
      <w:pPr>
        <w:pStyle w:val="Heading2"/>
        <w:pageBreakBefore/>
      </w:pPr>
      <w:bookmarkStart w:id="47" w:name="b15115f47c7db70acc57cfc92cfff4c"/>
      <w:bookmarkStart w:id="46" w:name="b24a94e07af3bed413b204780166d12"/>
      <w:bookmarkEnd w:id="46"/>
      <w:r>
        <w:rPr>
          <w:rFonts w:ascii="Noto Serif" w:hAnsi="Noto Serif" w:eastAsia="Noto Serif CJK SC" w:cs="Noto Serif"/>
          <w:color w:val="000000"/>
          <w:lang w:val="pt-BR" w:eastAsia="zh-CN" w:bidi="pt-BR"/>
        </w:rPr>
        <w:t>12º mês lunar</w:t>
      </w:r>
      <w:bookmarkEnd w:id="47"/>
    </w:p>
    <w:tbl>
      <w:tblPr>
        <w:tblW w:type="dxa" w:w="5556"/>
        <w:jc w:val="center"/>
        <w:tblLayout w:type="fixed"/>
        <w:tblLook w:firstColumn="1" w:firstRow="1" w:lastColumn="0" w:lastRow="0" w:noHBand="0" w:noVBand="1" w:val="04A0"/>
        <w:tblBorders>
          <w:top w:val="single" w:sz="4" w:color="777777"/>
          <w:left w:val="single" w:sz="4" w:color="777777"/>
          <w:bottom w:val="single" w:sz="4" w:color="777777"/>
          <w:right w:val="single" w:sz="4" w:color="777777"/>
          <w:insideH w:val="single" w:sz="4" w:color="777777"/>
          <w:insideV w:val="single" w:sz="4" w:color="777777"/>
        </w:tblBorders>
        <w:tblCellMar>
          <w:top w:w="65" w:type="dxa"/>
          <w:left w:w="75" w:type="dxa"/>
          <w:bottom w:w="65" w:type="dxa"/>
          <w:right w:w="75" w:type="dxa"/>
        </w:tblCellMar>
      </w:tblPr>
      <w:tblGrid>
        <w:gridCol w:w="1852"/>
        <w:gridCol w:w="1852"/>
        <w:gridCol w:w="1852"/>
      </w:tblGrid>
      <w:tr>
        <w:trPr>
          <w:cantSplit/>
          <w:tblHeader/>
        </w:trPr>
        <w:tc>
          <w:tcPr>
            <w:tcW w:type="dxa" w:w="1852"/>
            <w:vAlign w:val="center"/>
            <w:shd w:fill="EEEEEE" w:val="clear"/>
          </w:tcPr>
          <w:p>
            <w:pPr>
              <w:pStyle w:val="BookTable"/>
            </w:pPr>
            <w:bookmarkStart w:id="48" w:name="bdf1a7fd0ec59e4ed2ec4b3e807cc71"/>
            <w:r>
              <w:rPr>
                <w:rFonts w:ascii="Noto Serif" w:hAnsi="Noto Serif" w:eastAsia="Noto Serif CJK SC" w:cs="Noto Serif"/>
                <w:color w:val="000000"/>
                <w:b w:val="1"/>
                <w:bCs w:val="1"/>
                <w:lang w:val="pt-BR" w:eastAsia="zh-CN" w:bidi="pt-BR"/>
              </w:rPr>
              <w:t>Dia</w:t>
            </w:r>
          </w:p>
        </w:tc>
        <w:tc>
          <w:tcPr>
            <w:tcW w:type="dxa" w:w="1852"/>
            <w:vAlign w:val="center"/>
            <w:shd w:fill="EEEEEE" w:val="clea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b w:val="1"/>
                <w:bCs w:val="1"/>
                <w:lang w:val="pt-BR" w:eastAsia="zh-CN" w:bidi="pt-BR"/>
              </w:rPr>
              <w:t>Motivos da abstinência na fonte</w:t>
            </w:r>
          </w:p>
        </w:tc>
        <w:tc>
          <w:tcPr>
            <w:tcW w:type="dxa" w:w="1852"/>
            <w:vAlign w:val="center"/>
            <w:shd w:fill="EEEEEE" w:val="clea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b w:val="1"/>
                <w:bCs w:val="1"/>
                <w:lang w:val="pt-BR" w:eastAsia="zh-CN" w:bidi="pt-BR"/>
              </w:rPr>
              <w:t>Consequências atribuídas pela fonte</w:t>
            </w:r>
          </w:p>
        </w:tc>
      </w:tr>
      <w:tr>
        <w:trPr>
          <w:cantSplit/>
        </w:trPr>
        <w:tc>
          <w:tcPr>
            <w:tcW w:type="dxa" w:w="185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1</w:t>
            </w:r>
          </w:p>
        </w:tc>
        <w:tc>
          <w:tcPr>
            <w:tcW w:type="dxa" w:w="185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Lua nova.</w:t>
            </w:r>
          </w:p>
        </w:tc>
        <w:tc>
          <w:tcPr>
            <w:tcW w:type="dxa" w:w="185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Perda de um ji.</w:t>
            </w:r>
          </w:p>
        </w:tc>
      </w:tr>
      <w:tr>
        <w:trPr>
          <w:cantSplit/>
        </w:trPr>
        <w:tc>
          <w:tcPr>
            <w:tcW w:type="dxa" w:w="185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3</w:t>
            </w:r>
          </w:p>
        </w:tc>
        <w:tc>
          <w:tcPr>
            <w:tcW w:type="dxa" w:w="185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Descida das divindades de Dou.</w:t>
            </w:r>
          </w:p>
        </w:tc>
        <w:tc>
          <w:tcPr>
            <w:tcW w:type="dxa" w:w="185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Perda de um ji.</w:t>
            </w:r>
          </w:p>
        </w:tc>
      </w:tr>
      <w:tr>
        <w:trPr>
          <w:cantSplit/>
        </w:trPr>
        <w:tc>
          <w:tcPr>
            <w:tcW w:type="dxa" w:w="185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6</w:t>
            </w:r>
          </w:p>
        </w:tc>
        <w:tc>
          <w:tcPr>
            <w:tcW w:type="dxa" w:w="185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“Mês de abertura dos celeiros celestiais” (</w:t>
            </w:r>
            <w:r>
              <w:rPr>
                <w:rFonts w:ascii="Noto Serif CJK SC" w:hAnsi="Noto Serif CJK SC" w:eastAsia="Noto Serif CJK SC" w:cs="Noto Serif CJK SC"/>
                <w:color w:val="000000"/>
                <w:lang w:val="pt-BR" w:eastAsia="zh-CN" w:bidi="pt-BR"/>
              </w:rPr>
              <w:t xml:space="preserve">天仓开月, </w:t>
            </w: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leitura do PDF); dia de jejum ritual do Trovão.</w:t>
            </w:r>
          </w:p>
        </w:tc>
        <w:tc>
          <w:tcPr>
            <w:tcW w:type="dxa" w:w="185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Redução da duração da vida.</w:t>
            </w:r>
          </w:p>
        </w:tc>
      </w:tr>
      <w:tr>
        <w:trPr>
          <w:cantSplit/>
        </w:trPr>
        <w:tc>
          <w:tcPr>
            <w:tcW w:type="dxa" w:w="185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8</w:t>
            </w:r>
          </w:p>
        </w:tc>
        <w:tc>
          <w:tcPr>
            <w:tcW w:type="dxa" w:w="185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Celebração Wanghoula, dos reis e senhores; dia da realização do Caminho pelo Tathagata Shakyamuni; ronda dos Quatro Reis Celestiais.</w:t>
            </w:r>
          </w:p>
        </w:tc>
        <w:tc>
          <w:tcPr>
            <w:tcW w:type="dxa" w:w="185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Perda de um ji.</w:t>
            </w:r>
          </w:p>
        </w:tc>
      </w:tr>
      <w:tr>
        <w:trPr>
          <w:cantSplit/>
        </w:trPr>
        <w:tc>
          <w:tcPr>
            <w:tcW w:type="dxa" w:w="185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Condição independente: primeiros dez dias</w:t>
            </w:r>
          </w:p>
        </w:tc>
        <w:tc>
          <w:tcPr>
            <w:tcW w:type="dxa" w:w="185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Dia wu (</w:t>
            </w:r>
            <w:r>
              <w:rPr>
                <w:rFonts w:ascii="Noto Serif CJK SC" w:hAnsi="Noto Serif CJK SC" w:eastAsia="Noto Serif CJK SC" w:cs="Noto Serif CJK SC"/>
                <w:color w:val="000000"/>
                <w:lang w:val="pt-BR" w:eastAsia="zh-CN" w:bidi="pt-BR"/>
              </w:rPr>
              <w:t xml:space="preserve">戊) </w:t>
            </w: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que caia nos primeiros dez dias do 12º mês.</w:t>
            </w:r>
          </w:p>
        </w:tc>
        <w:tc>
          <w:tcPr>
            <w:tcW w:type="dxa" w:w="185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A fonte não lhe atribui uma consequência própria; não se aplica automaticamente a indicação do dia 8.</w:t>
            </w:r>
          </w:p>
        </w:tc>
      </w:tr>
      <w:tr>
        <w:trPr>
          <w:cantSplit/>
        </w:trPr>
        <w:tc>
          <w:tcPr>
            <w:tcW w:type="dxa" w:w="185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12</w:t>
            </w:r>
          </w:p>
        </w:tc>
        <w:tc>
          <w:tcPr>
            <w:tcW w:type="dxa" w:w="185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Homenagem aos imortais por Taisu Sanyuanjun (</w:t>
            </w:r>
            <w:r>
              <w:rPr>
                <w:rFonts w:ascii="Noto Serif CJK SC" w:hAnsi="Noto Serif CJK SC" w:eastAsia="Noto Serif CJK SC" w:cs="Noto Serif CJK SC"/>
                <w:color w:val="000000"/>
                <w:lang w:val="pt-BR" w:eastAsia="zh-CN" w:bidi="pt-BR"/>
              </w:rPr>
              <w:t xml:space="preserve">太素三元君, </w:t>
            </w: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nome divino preservado sem deduzir quantidade ou gênero).</w:t>
            </w:r>
          </w:p>
        </w:tc>
        <w:tc>
          <w:tcPr>
            <w:tcW w:type="dxa" w:w="185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Sem indicação própria.</w:t>
            </w:r>
          </w:p>
        </w:tc>
      </w:tr>
      <w:tr>
        <w:trPr>
          <w:cantSplit/>
        </w:trPr>
        <w:tc>
          <w:tcPr>
            <w:tcW w:type="dxa" w:w="185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14</w:t>
            </w:r>
          </w:p>
        </w:tc>
        <w:tc>
          <w:tcPr>
            <w:tcW w:type="dxa" w:w="185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Ronda dos Quatro Reis Celestiais.</w:t>
            </w:r>
          </w:p>
        </w:tc>
        <w:tc>
          <w:tcPr>
            <w:tcW w:type="dxa" w:w="185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Sem indicação própria.</w:t>
            </w:r>
          </w:p>
        </w:tc>
      </w:tr>
      <w:tr>
        <w:trPr>
          <w:cantSplit/>
        </w:trPr>
        <w:tc>
          <w:tcPr>
            <w:tcW w:type="dxa" w:w="185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15</w:t>
            </w:r>
          </w:p>
        </w:tc>
        <w:tc>
          <w:tcPr>
            <w:tcW w:type="dxa" w:w="185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Lua cheia; ronda dos Quatro Reis Celestiais.</w:t>
            </w:r>
          </w:p>
        </w:tc>
        <w:tc>
          <w:tcPr>
            <w:tcW w:type="dxa" w:w="185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Perda de um ji.</w:t>
            </w:r>
          </w:p>
        </w:tc>
      </w:tr>
      <w:tr>
        <w:trPr>
          <w:cantSplit/>
        </w:trPr>
        <w:tc>
          <w:tcPr>
            <w:tcW w:type="dxa" w:w="185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16</w:t>
            </w:r>
          </w:p>
        </w:tc>
        <w:tc>
          <w:tcPr>
            <w:tcW w:type="dxa" w:w="185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Aniversário do Grande Imperador do Pico Meridional.</w:t>
            </w:r>
          </w:p>
        </w:tc>
        <w:tc>
          <w:tcPr>
            <w:tcW w:type="dxa" w:w="185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Sem indicação própria.</w:t>
            </w:r>
          </w:p>
        </w:tc>
      </w:tr>
      <w:tr>
        <w:trPr>
          <w:cantSplit/>
        </w:trPr>
        <w:tc>
          <w:tcPr>
            <w:tcW w:type="dxa" w:w="185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19</w:t>
            </w:r>
          </w:p>
        </w:tc>
        <w:tc>
          <w:tcPr>
            <w:tcW w:type="dxa" w:w="185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Dia interdito de Yang Gong.</w:t>
            </w:r>
          </w:p>
        </w:tc>
        <w:tc>
          <w:tcPr>
            <w:tcW w:type="dxa" w:w="185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Sem indicação própria.</w:t>
            </w:r>
          </w:p>
        </w:tc>
      </w:tr>
      <w:tr>
        <w:trPr>
          <w:cantSplit/>
        </w:trPr>
        <w:tc>
          <w:tcPr>
            <w:tcW w:type="dxa" w:w="185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20</w:t>
            </w:r>
          </w:p>
        </w:tc>
        <w:tc>
          <w:tcPr>
            <w:tcW w:type="dxa" w:w="185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O Céu e a Terra unem seus caminhos.</w:t>
            </w:r>
          </w:p>
        </w:tc>
        <w:tc>
          <w:tcPr>
            <w:tcW w:type="dxa" w:w="185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Encurtamento da vida.</w:t>
            </w:r>
          </w:p>
        </w:tc>
      </w:tr>
      <w:tr>
        <w:trPr>
          <w:cantSplit/>
        </w:trPr>
        <w:tc>
          <w:tcPr>
            <w:tcW w:type="dxa" w:w="185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21</w:t>
            </w:r>
          </w:p>
        </w:tc>
        <w:tc>
          <w:tcPr>
            <w:tcW w:type="dxa" w:w="185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Aniversário do Imperador Tianyou.</w:t>
            </w:r>
          </w:p>
        </w:tc>
        <w:tc>
          <w:tcPr>
            <w:tcW w:type="dxa" w:w="185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Sem indicação própria.</w:t>
            </w:r>
          </w:p>
        </w:tc>
      </w:tr>
      <w:tr>
        <w:trPr>
          <w:cantSplit/>
        </w:trPr>
        <w:tc>
          <w:tcPr>
            <w:tcW w:type="dxa" w:w="185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23</w:t>
            </w:r>
          </w:p>
        </w:tc>
        <w:tc>
          <w:tcPr>
            <w:tcW w:type="dxa" w:w="185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Descida das divindades dos Cinco Picos; ronda dos Quatro Reis Celestiais.</w:t>
            </w:r>
          </w:p>
        </w:tc>
        <w:tc>
          <w:tcPr>
            <w:tcW w:type="dxa" w:w="185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Sem indicação própria.</w:t>
            </w:r>
          </w:p>
        </w:tc>
      </w:tr>
      <w:tr>
        <w:trPr>
          <w:cantSplit/>
        </w:trPr>
        <w:tc>
          <w:tcPr>
            <w:tcW w:type="dxa" w:w="185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24</w:t>
            </w:r>
          </w:p>
        </w:tc>
        <w:tc>
          <w:tcPr>
            <w:tcW w:type="dxa" w:w="185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Siming sobe ao Céu e relata o bem e o mal praticados pelas pessoas.</w:t>
            </w:r>
          </w:p>
        </w:tc>
        <w:tc>
          <w:tcPr>
            <w:tcW w:type="dxa" w:w="185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Grande calamidade.</w:t>
            </w:r>
          </w:p>
        </w:tc>
      </w:tr>
      <w:tr>
        <w:trPr>
          <w:cantSplit/>
        </w:trPr>
        <w:tc>
          <w:tcPr>
            <w:tcW w:type="dxa" w:w="185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25</w:t>
            </w:r>
          </w:p>
        </w:tc>
        <w:tc>
          <w:tcPr>
            <w:tcW w:type="dxa" w:w="185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Os Três Puros e o Imperador de Jade descem juntos para examinar o bem e o mal.</w:t>
            </w:r>
          </w:p>
        </w:tc>
        <w:tc>
          <w:tcPr>
            <w:tcW w:type="dxa" w:w="185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Calamidade extraordinária.</w:t>
            </w:r>
          </w:p>
        </w:tc>
      </w:tr>
      <w:tr>
        <w:trPr>
          <w:cantSplit/>
        </w:trPr>
        <w:tc>
          <w:tcPr>
            <w:tcW w:type="dxa" w:w="185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27</w:t>
            </w:r>
          </w:p>
        </w:tc>
        <w:tc>
          <w:tcPr>
            <w:tcW w:type="dxa" w:w="185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Descida das divindades de Dou.</w:t>
            </w:r>
          </w:p>
        </w:tc>
        <w:tc>
          <w:tcPr>
            <w:tcW w:type="dxa" w:w="185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Perda de um ji.</w:t>
            </w:r>
          </w:p>
        </w:tc>
      </w:tr>
      <w:tr>
        <w:trPr>
          <w:cantSplit/>
        </w:trPr>
        <w:tc>
          <w:tcPr>
            <w:tcW w:type="dxa" w:w="185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28</w:t>
            </w:r>
          </w:p>
        </w:tc>
        <w:tc>
          <w:tcPr>
            <w:tcW w:type="dxa" w:w="185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O espírito do corpo humano está na região genital.</w:t>
            </w:r>
          </w:p>
        </w:tc>
        <w:tc>
          <w:tcPr>
            <w:tcW w:type="dxa" w:w="185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Doença.</w:t>
            </w:r>
          </w:p>
        </w:tc>
      </w:tr>
      <w:tr>
        <w:trPr>
          <w:cantSplit/>
        </w:trPr>
        <w:tc>
          <w:tcPr>
            <w:tcW w:type="dxa" w:w="185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29</w:t>
            </w:r>
          </w:p>
        </w:tc>
        <w:tc>
          <w:tcPr>
            <w:tcW w:type="dxa" w:w="185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Aniversário do bodhisattva Huayan; ronda dos Quatro Reis Celestiais.</w:t>
            </w:r>
          </w:p>
        </w:tc>
        <w:tc>
          <w:tcPr>
            <w:tcW w:type="dxa" w:w="185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Sem indicação própria.</w:t>
            </w:r>
          </w:p>
        </w:tc>
      </w:tr>
      <w:tr>
        <w:trPr>
          <w:cantSplit/>
        </w:trPr>
        <w:tc>
          <w:tcPr>
            <w:tcW w:type="dxa" w:w="185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30</w:t>
            </w:r>
          </w:p>
        </w:tc>
        <w:tc>
          <w:tcPr>
            <w:tcW w:type="dxa" w:w="185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As divindades descem e investigam o bem e o mal.</w:t>
            </w:r>
          </w:p>
        </w:tc>
        <w:tc>
          <w:tcPr>
            <w:tcW w:type="dxa" w:w="1852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Morte tanto do homem quanto da mulher que transgredirem.</w:t>
            </w:r>
            <w:bookmarkEnd w:id="48"/>
          </w:p>
        </w:tc>
      </w:tr>
    </w:tbl>
    <w:p>
      <w:pPr>
        <w:pStyle w:val="BookFirst"/>
      </w:pPr>
      <w:bookmarkStart w:id="49" w:name="b40a7a76a3271eb4a869e3f48e0b355"/>
      <w:r>
        <w:rPr>
          <w:rFonts w:ascii="Noto Serif" w:hAnsi="Noto Serif" w:eastAsia="Noto Serif CJK SC" w:cs="Noto Serif"/>
          <w:color w:val="000000"/>
          <w:lang w:val="pt-BR" w:eastAsia="zh-CN" w:bidi="pt-BR"/>
        </w:rPr>
        <w:t>Comentário da fonte: os períodos acima somam duzentos e vinte e cinco dias por ano. Nos meses intercalares, seguir as mesmas indicações do mês correspondente. São datas fixas de cada mês.</w:t>
      </w:r>
      <w:bookmarkEnd w:id="49"/>
    </w:p>
    <w:p>
      <w:pPr>
        <w:pStyle w:val="Heading2"/>
        <w:pageBreakBefore/>
      </w:pPr>
      <w:bookmarkStart w:id="51" w:name="bb45f73bb280a672f7570e88b72b9a5"/>
      <w:bookmarkStart w:id="50" w:name="bcb863d18a74d7e247b16c94f006e5b"/>
      <w:bookmarkEnd w:id="50"/>
      <w:r>
        <w:rPr>
          <w:rFonts w:ascii="Noto Serif" w:hAnsi="Noto Serif" w:eastAsia="Noto Serif CJK SC" w:cs="Noto Serif"/>
          <w:color w:val="000000"/>
          <w:lang w:val="pt-BR" w:eastAsia="zh-CN" w:bidi="pt-BR"/>
        </w:rPr>
        <w:t>Notas sobre as leituras da tabela</w:t>
      </w:r>
      <w:bookmarkEnd w:id="51"/>
    </w:p>
    <w:p>
      <w:pPr>
        <w:pStyle w:val="BookList"/>
        <w:numPr>
          <w:ilvl w:val="0"/>
          <w:numId w:val="1001"/>
        </w:numPr>
      </w:pPr>
      <w:bookmarkStart w:id="52" w:name="b416e7e9bb945d0617f7720503c631c"/>
      <w:r>
        <w:rPr>
          <w:rFonts w:ascii="Noto Serif" w:hAnsi="Noto Serif" w:eastAsia="Noto Serif CJK SC" w:cs="Noto Serif"/>
          <w:color w:val="000000"/>
          <w:lang w:val="pt-BR" w:eastAsia="zh-CN" w:bidi="pt-BR"/>
        </w:rPr>
        <w:t>O PDF e a reprodução paralela trazem “fim do mês lunar” (</w:t>
      </w:r>
      <w:r>
        <w:rPr>
          <w:rFonts w:ascii="Noto Serif CJK SC" w:hAnsi="Noto Serif CJK SC" w:eastAsia="Noto Serif CJK SC" w:cs="Noto Serif CJK SC"/>
          <w:color w:val="000000"/>
          <w:lang w:val="pt-BR" w:eastAsia="zh-CN" w:bidi="pt-BR"/>
        </w:rPr>
        <w:t xml:space="preserve">月晦) </w:t>
      </w:r>
      <w:r>
        <w:rPr>
          <w:rFonts w:ascii="Noto Serif" w:hAnsi="Noto Serif" w:eastAsia="Noto Serif CJK SC" w:cs="Noto Serif"/>
          <w:color w:val="000000"/>
          <w:lang w:val="pt-BR" w:eastAsia="zh-CN" w:bidi="pt-BR"/>
        </w:rPr>
        <w:t>no dia 1 dos meses 7 e 10. A aparente inconsistência foi mantida, sem substituir o termo por “lua nova”. O mesmo termo pode aparecer no dia 25: a tradução conserva a indicação, não recalcula a data.</w:t>
      </w:r>
    </w:p>
    <w:p>
      <w:pPr>
        <w:pStyle w:val="BookList"/>
        <w:numPr>
          <w:ilvl w:val="0"/>
          <w:numId w:val="1001"/>
        </w:numPr>
      </w:pPr>
      <w:r>
        <w:rPr>
          <w:rFonts w:ascii="Noto Serif" w:hAnsi="Noto Serif" w:eastAsia="Noto Serif CJK SC" w:cs="Noto Serif"/>
          <w:color w:val="000000"/>
          <w:lang w:val="pt-BR" w:eastAsia="zh-CN" w:bidi="pt-BR"/>
        </w:rPr>
        <w:t xml:space="preserve">No dia 6 do 12º mês, o PDF traz </w:t>
      </w:r>
      <w:r>
        <w:rPr>
          <w:rFonts w:ascii="Noto Serif CJK SC" w:hAnsi="Noto Serif CJK SC" w:eastAsia="Noto Serif CJK SC" w:cs="Noto Serif CJK SC"/>
          <w:color w:val="000000"/>
          <w:lang w:val="pt-BR" w:eastAsia="zh-CN" w:bidi="pt-BR"/>
        </w:rPr>
        <w:t>天仓开月, “</w:t>
      </w:r>
      <w:r>
        <w:rPr>
          <w:rFonts w:ascii="Noto Serif" w:hAnsi="Noto Serif" w:eastAsia="Noto Serif CJK SC" w:cs="Noto Serif"/>
          <w:color w:val="000000"/>
          <w:lang w:val="pt-BR" w:eastAsia="zh-CN" w:bidi="pt-BR"/>
        </w:rPr>
        <w:t xml:space="preserve">mês de abertura dos celeiros celestiais”; a página paralela traz </w:t>
      </w:r>
      <w:r>
        <w:rPr>
          <w:rFonts w:ascii="Noto Serif CJK SC" w:hAnsi="Noto Serif CJK SC" w:eastAsia="Noto Serif CJK SC" w:cs="Noto Serif CJK SC"/>
          <w:color w:val="000000"/>
          <w:lang w:val="pt-BR" w:eastAsia="zh-CN" w:bidi="pt-BR"/>
        </w:rPr>
        <w:t>天仓开日, “</w:t>
      </w:r>
      <w:r>
        <w:rPr>
          <w:rFonts w:ascii="Noto Serif" w:hAnsi="Noto Serif" w:eastAsia="Noto Serif CJK SC" w:cs="Noto Serif"/>
          <w:color w:val="000000"/>
          <w:lang w:val="pt-BR" w:eastAsia="zh-CN" w:bidi="pt-BR"/>
        </w:rPr>
        <w:t>dia de abertura”. O texto acima mantém a leitura do PDF.</w:t>
      </w:r>
    </w:p>
    <w:p>
      <w:pPr>
        <w:pStyle w:val="BookList"/>
        <w:numPr>
          <w:ilvl w:val="0"/>
          <w:numId w:val="1001"/>
        </w:numPr>
      </w:pPr>
      <w:r>
        <w:rPr>
          <w:rFonts w:ascii="Noto Serif" w:hAnsi="Noto Serif" w:eastAsia="Noto Serif CJK SC" w:cs="Noto Serif"/>
          <w:color w:val="000000"/>
          <w:lang w:val="pt-BR" w:eastAsia="zh-CN" w:bidi="pt-BR"/>
        </w:rPr>
        <w:t xml:space="preserve">No quadro dos dias de desajuste de yang, o 1º mês traz </w:t>
      </w:r>
      <w:r>
        <w:rPr>
          <w:rFonts w:ascii="Noto Serif CJK SC" w:hAnsi="Noto Serif CJK SC" w:eastAsia="Noto Serif CJK SC" w:cs="Noto Serif CJK SC"/>
          <w:color w:val="000000"/>
          <w:lang w:val="pt-BR" w:eastAsia="zh-CN" w:bidi="pt-BR"/>
        </w:rPr>
        <w:t xml:space="preserve">申寅. </w:t>
      </w:r>
      <w:r>
        <w:rPr>
          <w:rFonts w:ascii="Noto Serif" w:hAnsi="Noto Serif" w:eastAsia="Noto Serif CJK SC" w:cs="Noto Serif"/>
          <w:color w:val="000000"/>
          <w:lang w:val="pt-BR" w:eastAsia="zh-CN" w:bidi="pt-BR"/>
        </w:rPr>
        <w:t>A forma foi preservada, sem corrigi-la por suposição para outra combinação do ciclo.</w:t>
      </w:r>
    </w:p>
    <w:p>
      <w:pPr>
        <w:pStyle w:val="BookList"/>
        <w:numPr>
          <w:ilvl w:val="0"/>
          <w:numId w:val="1001"/>
        </w:numPr>
      </w:pPr>
      <w:r>
        <w:rPr>
          <w:rFonts w:ascii="Noto Serif" w:hAnsi="Noto Serif" w:eastAsia="Noto Serif CJK SC" w:cs="Noto Serif"/>
          <w:color w:val="000000"/>
          <w:lang w:val="pt-BR" w:eastAsia="zh-CN" w:bidi="pt-BR"/>
        </w:rPr>
        <w:t xml:space="preserve">A expressão </w:t>
      </w:r>
      <w:r>
        <w:rPr>
          <w:rFonts w:ascii="Noto Serif CJK SC" w:hAnsi="Noto Serif CJK SC" w:eastAsia="Noto Serif CJK SC" w:cs="Noto Serif CJK SC"/>
          <w:color w:val="000000"/>
          <w:lang w:val="pt-BR" w:eastAsia="zh-CN" w:bidi="pt-BR"/>
        </w:rPr>
        <w:t xml:space="preserve">失瘏, </w:t>
      </w:r>
      <w:r>
        <w:rPr>
          <w:rFonts w:ascii="Noto Serif" w:hAnsi="Noto Serif" w:eastAsia="Noto Serif CJK SC" w:cs="Noto Serif"/>
          <w:color w:val="000000"/>
          <w:lang w:val="pt-BR" w:eastAsia="zh-CN" w:bidi="pt-BR"/>
        </w:rPr>
        <w:t>nos dias 4 e 8 do 4º mês, tem leitura e sentido incertos nesta fonte. Seus caracteres foram mantidos; não se acrescentou um diagnóstico ou uma consequência gestacional específica.</w:t>
      </w:r>
    </w:p>
    <w:p>
      <w:pPr>
        <w:pStyle w:val="BookList"/>
        <w:numPr>
          <w:ilvl w:val="0"/>
          <w:numId w:val="1001"/>
        </w:numPr>
      </w:pPr>
      <w:r>
        <w:rPr>
          <w:rFonts w:ascii="Noto Serif" w:hAnsi="Noto Serif" w:eastAsia="Noto Serif CJK SC" w:cs="Noto Serif"/>
          <w:color w:val="000000"/>
          <w:lang w:val="pt-BR" w:eastAsia="zh-CN" w:bidi="pt-BR"/>
        </w:rPr>
        <w:t>A fonte declara um total de 225 dias. A tabela mensal recuperada contém 216 grupos de datas expressas, além de uma condição independente relativa ao dia wu nos primeiros dez dias do 12º mês e outras regras gerais. Essas contagens não têm o mesmo alcance; não se inventaram nove datas para conciliá-las.</w:t>
      </w:r>
    </w:p>
    <w:p>
      <w:pPr>
        <w:pStyle w:val="BookList"/>
        <w:numPr>
          <w:ilvl w:val="0"/>
          <w:numId w:val="1001"/>
        </w:numPr>
      </w:pPr>
      <w:r>
        <w:rPr>
          <w:rFonts w:ascii="Noto Serif" w:hAnsi="Noto Serif" w:eastAsia="Noto Serif CJK SC" w:cs="Noto Serif"/>
          <w:color w:val="000000"/>
          <w:lang w:val="pt-BR" w:eastAsia="zh-CN" w:bidi="pt-BR"/>
        </w:rPr>
        <w:t>No dia 15 do 11º mês, a imagem associa explicitamente a primeira metade da noite à morte do homem e a segunda à morte da mulher. Essa relação específica não autoriza parear todas as demais listas por posição.</w:t>
      </w:r>
      <w:bookmarkEnd w:id="52"/>
    </w:p>
    <w:p>
      <w:pPr>
        <w:pStyle w:val="Heading2"/>
        <w:pageBreakBefore/>
      </w:pPr>
      <w:bookmarkStart w:id="54" w:name="b596c23b93ff45daef294712cbf8739"/>
      <w:bookmarkStart w:id="53" w:name="b4470a1e34773df2003475efa47703a"/>
      <w:bookmarkEnd w:id="53"/>
      <w:r>
        <w:rPr>
          <w:rFonts w:ascii="Noto Serif" w:hAnsi="Noto Serif" w:eastAsia="Noto Serif CJK SC" w:cs="Noto Serif"/>
          <w:color w:val="000000"/>
          <w:lang w:val="pt-BR" w:eastAsia="zh-CN" w:bidi="pt-BR"/>
        </w:rPr>
        <w:t>Outras interdições constantes da fonte</w:t>
      </w:r>
      <w:bookmarkEnd w:id="54"/>
    </w:p>
    <w:p>
      <w:pPr>
        <w:pStyle w:val="BookFirst"/>
      </w:pPr>
      <w:bookmarkStart w:id="55" w:name="bea121b901d23972ac2e509552490d8"/>
      <w:r>
        <w:rPr>
          <w:rFonts w:ascii="Noto Serif" w:hAnsi="Noto Serif" w:eastAsia="Noto Serif CJK SC" w:cs="Noto Serif"/>
          <w:color w:val="000000"/>
          <w:lang w:val="pt-BR" w:eastAsia="zh-CN" w:bidi="pt-BR"/>
        </w:rPr>
        <w:t>As seções seguintes continuam a tradução do mesmo texto histórico, com a mesma atribuição das afirmações à obra citada.</w:t>
      </w:r>
      <w:bookmarkEnd w:id="55"/>
    </w:p>
    <w:p>
      <w:pPr>
        <w:pStyle w:val="Heading3"/>
        <w:pageBreakBefore w:val="0"/>
      </w:pPr>
      <w:bookmarkStart w:id="57" w:name="b0261ba4d99ba78eaa550bb5268621b"/>
      <w:bookmarkStart w:id="56" w:name="b921bcf84a55003cdcf9890bdb5085d"/>
      <w:bookmarkEnd w:id="56"/>
      <w:r>
        <w:rPr>
          <w:rFonts w:ascii="Noto Serif" w:hAnsi="Noto Serif" w:eastAsia="Noto Serif CJK SC" w:cs="Noto Serif"/>
          <w:color w:val="000000"/>
          <w:lang w:val="pt-BR" w:eastAsia="zh-CN" w:bidi="pt-BR"/>
        </w:rPr>
        <w:t>Meses dos dois equinócios</w:t>
      </w:r>
      <w:bookmarkEnd w:id="57"/>
    </w:p>
    <w:tbl>
      <w:tblPr>
        <w:tblW w:type="dxa" w:w="5556"/>
        <w:jc w:val="center"/>
        <w:tblLayout w:type="fixed"/>
        <w:tblLook w:firstColumn="1" w:firstRow="1" w:lastColumn="0" w:lastRow="0" w:noHBand="0" w:noVBand="1" w:val="04A0"/>
        <w:tblBorders>
          <w:top w:val="single" w:sz="4" w:color="777777"/>
          <w:left w:val="single" w:sz="4" w:color="777777"/>
          <w:bottom w:val="single" w:sz="4" w:color="777777"/>
          <w:right w:val="single" w:sz="4" w:color="777777"/>
          <w:insideH w:val="single" w:sz="4" w:color="777777"/>
          <w:insideV w:val="single" w:sz="4" w:color="777777"/>
        </w:tblBorders>
        <w:tblCellMar>
          <w:top w:w="65" w:type="dxa"/>
          <w:left w:w="75" w:type="dxa"/>
          <w:bottom w:w="65" w:type="dxa"/>
          <w:right w:w="75" w:type="dxa"/>
        </w:tblCellMar>
      </w:tblPr>
      <w:tblGrid>
        <w:gridCol w:w="1278"/>
        <w:gridCol w:w="1333"/>
        <w:gridCol w:w="1556"/>
        <w:gridCol w:w="1389"/>
      </w:tblGrid>
      <w:tr>
        <w:trPr>
          <w:cantSplit/>
          <w:tblHeader/>
        </w:trPr>
        <w:tc>
          <w:tcPr>
            <w:tcW w:type="dxa" w:w="1278"/>
            <w:vAlign w:val="center"/>
            <w:shd w:fill="EEEEEE" w:val="clear"/>
          </w:tcPr>
          <w:p>
            <w:pPr>
              <w:pStyle w:val="BookTable"/>
            </w:pPr>
            <w:bookmarkStart w:id="58" w:name="bd0a02ac81196827fe512d0de4ad659"/>
            <w:r>
              <w:rPr>
                <w:rFonts w:ascii="Noto Serif" w:hAnsi="Noto Serif" w:eastAsia="Noto Serif CJK SC" w:cs="Noto Serif"/>
                <w:color w:val="000000"/>
                <w:b w:val="1"/>
                <w:bCs w:val="1"/>
                <w:lang w:val="pt-BR" w:eastAsia="zh-CN" w:bidi="pt-BR"/>
              </w:rPr>
              <w:t>Termo solar</w:t>
            </w:r>
          </w:p>
        </w:tc>
        <w:tc>
          <w:tcPr>
            <w:tcW w:type="dxa" w:w="1333"/>
            <w:vAlign w:val="center"/>
            <w:shd w:fill="EEEEEE" w:val="clea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b w:val="1"/>
                <w:bCs w:val="1"/>
                <w:lang w:val="pt-BR" w:eastAsia="zh-CN" w:bidi="pt-BR"/>
              </w:rPr>
              <w:t>Descrição</w:t>
            </w:r>
          </w:p>
        </w:tc>
        <w:tc>
          <w:tcPr>
            <w:tcW w:type="dxa" w:w="1556"/>
            <w:vAlign w:val="center"/>
            <w:shd w:fill="EEEEEE" w:val="clea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b w:val="1"/>
                <w:bCs w:val="1"/>
                <w:lang w:val="pt-BR" w:eastAsia="zh-CN" w:bidi="pt-BR"/>
              </w:rPr>
              <w:t>Consequência</w:t>
            </w:r>
          </w:p>
        </w:tc>
        <w:tc>
          <w:tcPr>
            <w:tcW w:type="dxa" w:w="1389"/>
            <w:vAlign w:val="center"/>
            <w:shd w:fill="EEEEEE" w:val="clea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b w:val="1"/>
                <w:bCs w:val="1"/>
                <w:lang w:val="pt-BR" w:eastAsia="zh-CN" w:bidi="pt-BR"/>
              </w:rPr>
              <w:t>Observância</w:t>
            </w:r>
          </w:p>
        </w:tc>
      </w:tr>
      <w:tr>
        <w:trPr>
          <w:cantSplit/>
        </w:trPr>
        <w:tc>
          <w:tcPr>
            <w:tcW w:type="dxa" w:w="1278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Equinócio da primavera</w:t>
            </w:r>
          </w:p>
        </w:tc>
        <w:tc>
          <w:tcPr>
            <w:tcW w:type="dxa" w:w="1333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O trovão está prestes a soar.</w:t>
            </w:r>
          </w:p>
        </w:tc>
        <w:tc>
          <w:tcPr>
            <w:tcW w:type="dxa" w:w="1556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Quem transgredir terá filhos com malformações nos órgãos dos sentidos e nos membros. Os pais sofrerão infortúnios.</w:t>
            </w:r>
          </w:p>
        </w:tc>
        <w:tc>
          <w:tcPr>
            <w:tcW w:type="dxa" w:w="13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A abstinência deve começar no termo solar Jingzhe, o Despertar dos Insetos, e se estender por mais de um mês.</w:t>
            </w:r>
          </w:p>
        </w:tc>
      </w:tr>
      <w:tr>
        <w:trPr>
          <w:cantSplit/>
        </w:trPr>
        <w:tc>
          <w:tcPr>
            <w:tcW w:type="dxa" w:w="1278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Equinócio do outono</w:t>
            </w:r>
          </w:p>
        </w:tc>
        <w:tc>
          <w:tcPr>
            <w:tcW w:type="dxa" w:w="1333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A energia destrutiva cresce gradualmente; a energia yang diminui a cada dia.</w:t>
            </w:r>
          </w:p>
        </w:tc>
        <w:tc>
          <w:tcPr>
            <w:tcW w:type="dxa" w:w="1556"/>
            <w:vAlign w:val="center"/>
          </w:tcPr>
          <w:p>
            <w:pPr>
              <w:pStyle w:val="BookTable"/>
            </w:pPr>
          </w:p>
        </w:tc>
        <w:tc>
          <w:tcPr>
            <w:tcW w:type="dxa" w:w="1389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A abstinência deve começar no termo solar Bailu, o Orvalho Branco, e se estender por mais de um mês.</w:t>
            </w:r>
          </w:p>
        </w:tc>
      </w:tr>
      <w:tr>
        <w:trPr>
          <w:cantSplit/>
        </w:trPr>
        <w:tc>
          <w:tcPr>
            <w:tcW w:type="dxa" w:w="1278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Nos três dias anteriores e nos três posteriores a cada um desses dois termos solares, incluindo o próprio dia, são sete dias: a transgressão causa necessariamente uma doença grave. É especialmente importante observar a abstinência.</w:t>
            </w:r>
          </w:p>
        </w:tc>
        <w:tc>
          <w:tcPr>
            <w:tcW w:type="dxa" w:w="1333"/>
            <w:vAlign w:val="center"/>
          </w:tcPr>
          <w:p>
            <w:pPr>
              <w:pStyle w:val="BookTable"/>
            </w:pPr>
          </w:p>
        </w:tc>
        <w:tc>
          <w:tcPr>
            <w:tcW w:type="dxa" w:w="1556"/>
            <w:vAlign w:val="center"/>
          </w:tcPr>
          <w:p>
            <w:pPr>
              <w:pStyle w:val="BookTable"/>
            </w:pPr>
          </w:p>
        </w:tc>
        <w:tc>
          <w:tcPr>
            <w:tcW w:type="dxa" w:w="1389"/>
            <w:vAlign w:val="center"/>
          </w:tcPr>
          <w:p>
            <w:pPr>
              <w:pStyle w:val="BookTable"/>
            </w:pPr>
            <w:bookmarkEnd w:id="58"/>
          </w:p>
        </w:tc>
      </w:tr>
    </w:tbl>
    <w:p>
      <w:pPr>
        <w:pStyle w:val="BookFirst"/>
      </w:pPr>
      <w:bookmarkStart w:id="59" w:name="b470da67885cb3341101406ae7652b7"/>
      <w:r>
        <w:rPr>
          <w:rFonts w:ascii="Noto Serif" w:hAnsi="Noto Serif" w:eastAsia="Noto Serif CJK SC" w:cs="Noto Serif"/>
          <w:color w:val="000000"/>
          <w:lang w:val="pt-BR" w:eastAsia="zh-CN" w:bidi="pt-BR"/>
        </w:rPr>
        <w:t>Leitura das células compartilhadas: A consequência sobre filhos e pais pertence apenas à linha do equinócio da primavera. Na linha do equinócio do outono, a descrição ocupa as duas colunas centrais e não há consequência própria indicada. A última observação se aplica aos dois equinócios.</w:t>
      </w:r>
      <w:bookmarkEnd w:id="59"/>
    </w:p>
    <w:p>
      <w:pPr>
        <w:pStyle w:val="Heading3"/>
        <w:pageBreakBefore w:val="0"/>
      </w:pPr>
      <w:bookmarkStart w:id="61" w:name="bad481494ed9c0c7d949b6f3147568a"/>
      <w:bookmarkStart w:id="60" w:name="bb95853bebf5a402aec13f9e6fe85d6"/>
      <w:bookmarkEnd w:id="60"/>
      <w:r>
        <w:rPr>
          <w:rFonts w:ascii="Noto Serif" w:hAnsi="Noto Serif" w:eastAsia="Noto Serif CJK SC" w:cs="Noto Serif"/>
          <w:color w:val="000000"/>
          <w:lang w:val="pt-BR" w:eastAsia="zh-CN" w:bidi="pt-BR"/>
        </w:rPr>
        <w:t>Meses dos dois solstícios</w:t>
      </w:r>
      <w:bookmarkEnd w:id="61"/>
    </w:p>
    <w:tbl>
      <w:tblPr>
        <w:tblW w:type="dxa" w:w="5556"/>
        <w:jc w:val="center"/>
        <w:tblLayout w:type="fixed"/>
        <w:tblLook w:firstColumn="1" w:firstRow="1" w:lastColumn="0" w:lastRow="0" w:noHBand="0" w:noVBand="1" w:val="04A0"/>
        <w:tblBorders>
          <w:top w:val="single" w:sz="4" w:color="777777"/>
          <w:left w:val="single" w:sz="4" w:color="777777"/>
          <w:bottom w:val="single" w:sz="4" w:color="777777"/>
          <w:right w:val="single" w:sz="4" w:color="777777"/>
          <w:insideH w:val="single" w:sz="4" w:color="777777"/>
          <w:insideV w:val="single" w:sz="4" w:color="777777"/>
        </w:tblBorders>
        <w:tblCellMar>
          <w:top w:w="65" w:type="dxa"/>
          <w:left w:w="75" w:type="dxa"/>
          <w:bottom w:w="65" w:type="dxa"/>
          <w:right w:w="75" w:type="dxa"/>
        </w:tblCellMar>
      </w:tblPr>
      <w:tblGrid>
        <w:gridCol w:w="2778"/>
        <w:gridCol w:w="2778"/>
      </w:tblGrid>
      <w:tr>
        <w:trPr>
          <w:cantSplit/>
          <w:tblHeader/>
        </w:trPr>
        <w:tc>
          <w:tcPr>
            <w:tcW w:type="dxa" w:w="2778"/>
            <w:vAlign w:val="center"/>
            <w:shd w:fill="EEEEEE" w:val="clear"/>
          </w:tcPr>
          <w:p>
            <w:pPr>
              <w:pStyle w:val="BookTable"/>
            </w:pPr>
            <w:bookmarkStart w:id="62" w:name="bc1fb61385b15ad848c45aef32ed571"/>
            <w:r>
              <w:rPr>
                <w:rFonts w:ascii="Noto Serif" w:hAnsi="Noto Serif" w:eastAsia="Noto Serif CJK SC" w:cs="Noto Serif"/>
                <w:color w:val="000000"/>
                <w:b w:val="1"/>
                <w:bCs w:val="1"/>
                <w:lang w:val="pt-BR" w:eastAsia="zh-CN" w:bidi="pt-BR"/>
              </w:rPr>
              <w:t>Solstício</w:t>
            </w:r>
          </w:p>
        </w:tc>
        <w:tc>
          <w:tcPr>
            <w:tcW w:type="dxa" w:w="2778"/>
            <w:vAlign w:val="center"/>
            <w:shd w:fill="EEEEEE" w:val="clea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b w:val="1"/>
                <w:bCs w:val="1"/>
                <w:lang w:val="pt-BR" w:eastAsia="zh-CN" w:bidi="pt-BR"/>
              </w:rPr>
              <w:t>Descrição e observância</w:t>
            </w:r>
          </w:p>
        </w:tc>
      </w:tr>
      <w:tr>
        <w:trPr>
          <w:cantSplit/>
        </w:trPr>
        <w:tc>
          <w:tcPr>
            <w:tcW w:type="dxa" w:w="2778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Solstício de verão</w:t>
            </w:r>
          </w:p>
        </w:tc>
        <w:tc>
          <w:tcPr>
            <w:tcW w:type="dxa" w:w="2778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Yin e yang disputam entre si; é o momento em que se decide entre vida e morte. A abstinência deve começar no termo solar Mangzhong, o Grão com Barbas, e se estender por mais de um mês.</w:t>
            </w:r>
          </w:p>
        </w:tc>
      </w:tr>
      <w:tr>
        <w:trPr>
          <w:cantSplit/>
        </w:trPr>
        <w:tc>
          <w:tcPr>
            <w:tcW w:type="dxa" w:w="2778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Solstício de inverno</w:t>
            </w:r>
          </w:p>
        </w:tc>
        <w:tc>
          <w:tcPr>
            <w:tcW w:type="dxa" w:w="2778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Yin e yang disputam entre si; é o momento em que se decide entre vida e morte. A abstinência deve começar no termo solar Daxue, a Grande Neve, e se estender por mais de um mês.</w:t>
            </w:r>
          </w:p>
        </w:tc>
      </w:tr>
      <w:tr>
        <w:trPr>
          <w:cantSplit/>
        </w:trPr>
        <w:tc>
          <w:tcPr>
            <w:tcW w:type="dxa" w:w="2778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Esses dois termos marcam a passagem entre a interrupção e a renovação de yin e yang; neles, a abstinência é especialmente necessária. Nos três dias anteriores e nos três posteriores a cada solstício, incluindo o próprio dia, são sete dias: a transgressão causa necessariamente uma doença aguda. É especialmente importante observar a abstinência.</w:t>
            </w:r>
          </w:p>
        </w:tc>
        <w:tc>
          <w:tcPr>
            <w:tcW w:type="dxa" w:w="2778"/>
            <w:vAlign w:val="center"/>
          </w:tcPr>
          <w:p>
            <w:pPr>
              <w:pStyle w:val="BookTable"/>
            </w:pPr>
            <w:bookmarkEnd w:id="62"/>
          </w:p>
        </w:tc>
      </w:tr>
    </w:tbl>
    <w:p>
      <w:pPr>
        <w:pStyle w:val="BookFirst"/>
      </w:pPr>
      <w:bookmarkStart w:id="63" w:name="b579c6ffe3fc622af4a8519007d5285"/>
      <w:r>
        <w:rPr>
          <w:rFonts w:ascii="Noto Serif" w:hAnsi="Noto Serif" w:eastAsia="Noto Serif CJK SC" w:cs="Noto Serif"/>
          <w:color w:val="000000"/>
          <w:lang w:val="pt-BR" w:eastAsia="zh-CN" w:bidi="pt-BR"/>
        </w:rPr>
        <w:t>Leitura das células compartilhadas: As duas observações finais se aplicam aos dois solstícios.</w:t>
      </w:r>
      <w:bookmarkEnd w:id="63"/>
    </w:p>
    <w:p>
      <w:pPr>
        <w:pStyle w:val="Heading3"/>
        <w:pageBreakBefore w:val="0"/>
      </w:pPr>
      <w:bookmarkStart w:id="65" w:name="ba76fa6557b21161c2253b722d36b9d"/>
      <w:bookmarkStart w:id="64" w:name="b8ba69bfe7f40f8ce19df96b5ba828c"/>
      <w:bookmarkEnd w:id="64"/>
      <w:r>
        <w:rPr>
          <w:rFonts w:ascii="Noto Serif" w:hAnsi="Noto Serif" w:eastAsia="Noto Serif CJK SC" w:cs="Noto Serif"/>
          <w:color w:val="000000"/>
          <w:lang w:val="pt-BR" w:eastAsia="zh-CN" w:bidi="pt-BR"/>
        </w:rPr>
        <w:t>Solstício de inverno</w:t>
      </w:r>
      <w:bookmarkEnd w:id="65"/>
    </w:p>
    <w:tbl>
      <w:tblPr>
        <w:tblW w:type="dxa" w:w="5556"/>
        <w:jc w:val="center"/>
        <w:tblLayout w:type="fixed"/>
        <w:tblLook w:firstColumn="1" w:firstRow="1" w:lastColumn="0" w:lastRow="0" w:noHBand="0" w:noVBand="1" w:val="04A0"/>
        <w:tblBorders>
          <w:top w:val="single" w:sz="4" w:color="777777"/>
          <w:left w:val="single" w:sz="4" w:color="777777"/>
          <w:bottom w:val="single" w:sz="4" w:color="777777"/>
          <w:right w:val="single" w:sz="4" w:color="777777"/>
          <w:insideH w:val="single" w:sz="4" w:color="777777"/>
          <w:insideV w:val="single" w:sz="4" w:color="777777"/>
        </w:tblBorders>
        <w:tblCellMar>
          <w:top w:w="65" w:type="dxa"/>
          <w:left w:w="75" w:type="dxa"/>
          <w:bottom w:w="65" w:type="dxa"/>
          <w:right w:w="75" w:type="dxa"/>
        </w:tblCellMar>
      </w:tblPr>
      <w:tblGrid>
        <w:gridCol w:w="2778"/>
        <w:gridCol w:w="2778"/>
      </w:tblGrid>
      <w:tr>
        <w:trPr>
          <w:cantSplit/>
          <w:tblHeader/>
        </w:trPr>
        <w:tc>
          <w:tcPr>
            <w:tcW w:type="dxa" w:w="2778"/>
            <w:vAlign w:val="center"/>
            <w:shd w:fill="EEEEEE" w:val="clear"/>
          </w:tcPr>
          <w:p>
            <w:pPr>
              <w:pStyle w:val="BookTable"/>
            </w:pPr>
            <w:bookmarkStart w:id="66" w:name="b705f3131c550f9738a827eee593980"/>
            <w:r>
              <w:rPr>
                <w:rFonts w:ascii="Noto Serif" w:hAnsi="Noto Serif" w:eastAsia="Noto Serif CJK SC" w:cs="Noto Serif"/>
                <w:color w:val="000000"/>
                <w:b w:val="1"/>
                <w:bCs w:val="1"/>
                <w:lang w:val="pt-BR" w:eastAsia="zh-CN" w:bidi="pt-BR"/>
              </w:rPr>
              <w:t>Circunstância ou orientação</w:t>
            </w:r>
          </w:p>
        </w:tc>
        <w:tc>
          <w:tcPr>
            <w:tcW w:type="dxa" w:w="2778"/>
            <w:vAlign w:val="center"/>
            <w:shd w:fill="EEEEEE" w:val="clea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b w:val="1"/>
                <w:bCs w:val="1"/>
                <w:lang w:val="pt-BR" w:eastAsia="zh-CN" w:bidi="pt-BR"/>
              </w:rPr>
              <w:t>Consequência segundo a fonte</w:t>
            </w:r>
          </w:p>
        </w:tc>
      </w:tr>
      <w:tr>
        <w:trPr>
          <w:cantSplit/>
        </w:trPr>
        <w:tc>
          <w:tcPr>
            <w:tcW w:type="dxa" w:w="2778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Período zi, à meia-noite</w:t>
            </w:r>
          </w:p>
        </w:tc>
        <w:tc>
          <w:tcPr>
            <w:tcW w:type="dxa" w:w="2778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Qualquer transgressão nessas ocasiões anuncia morte no prazo de um ano.</w:t>
            </w:r>
          </w:p>
        </w:tc>
      </w:tr>
      <w:tr>
        <w:trPr>
          <w:cantSplit/>
        </w:trPr>
        <w:tc>
          <w:tcPr>
            <w:tcW w:type="dxa" w:w="2778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Dias geng e xin que se seguem; terceiro dia xu.</w:t>
            </w:r>
          </w:p>
        </w:tc>
        <w:tc>
          <w:tcPr>
            <w:tcW w:type="dxa" w:w="2778"/>
            <w:vAlign w:val="center"/>
          </w:tcPr>
          <w:p>
            <w:pPr>
              <w:pStyle w:val="BookTable"/>
            </w:pPr>
            <w:bookmarkEnd w:id="66"/>
          </w:p>
        </w:tc>
      </w:tr>
    </w:tbl>
    <w:p>
      <w:pPr>
        <w:pStyle w:val="BookFirst"/>
      </w:pPr>
      <w:bookmarkStart w:id="67" w:name="bb6eb1eea79d150d8d138201ff8dfc5"/>
      <w:r>
        <w:rPr>
          <w:rFonts w:ascii="Noto Serif" w:hAnsi="Noto Serif" w:eastAsia="Noto Serif CJK SC" w:cs="Noto Serif"/>
          <w:color w:val="000000"/>
          <w:lang w:val="pt-BR" w:eastAsia="zh-CN" w:bidi="pt-BR"/>
        </w:rPr>
        <w:t>Leitura das células compartilhadas: A consequência de morte no prazo de um ano abrange as duas linhas de ocasiões.</w:t>
      </w:r>
      <w:bookmarkEnd w:id="67"/>
    </w:p>
    <w:p>
      <w:pPr>
        <w:pStyle w:val="Heading3"/>
        <w:pageBreakBefore w:val="0"/>
      </w:pPr>
      <w:bookmarkStart w:id="69" w:name="bb89b90a421fb6091c4cfdd9224e4c1"/>
      <w:bookmarkStart w:id="68" w:name="be31a4c65e41d3b40931f3076bf56ea"/>
      <w:bookmarkEnd w:id="68"/>
      <w:r>
        <w:rPr>
          <w:rFonts w:ascii="Noto Serif" w:hAnsi="Noto Serif" w:eastAsia="Noto Serif CJK SC" w:cs="Noto Serif"/>
          <w:color w:val="000000"/>
          <w:lang w:val="pt-BR" w:eastAsia="zh-CN" w:bidi="pt-BR"/>
        </w:rPr>
        <w:t>Dias e condições adicionais</w:t>
      </w:r>
      <w:bookmarkEnd w:id="69"/>
    </w:p>
    <w:p>
      <w:pPr>
        <w:pStyle w:val="BookList"/>
        <w:numPr>
          <w:ilvl w:val="0"/>
          <w:numId w:val="1003"/>
        </w:numPr>
      </w:pPr>
      <w:bookmarkStart w:id="70" w:name="b74d522e3fa4cd67081619df40c4eaa"/>
      <w:r>
        <w:rPr>
          <w:rFonts w:ascii="Noto Serif" w:hAnsi="Noto Serif" w:eastAsia="Noto Serif CJK SC" w:cs="Noto Serif"/>
          <w:color w:val="000000"/>
          <w:lang w:val="pt-BR" w:eastAsia="zh-CN" w:bidi="pt-BR"/>
        </w:rPr>
        <w:t>Dias dos Três Yuan: a transgressão reduz a vida em cinco anos. São os dias 15 dos meses lunares 1, 7 e 10, correspondentes a Shangyuan, Zhongyuan e Xiayuan.</w:t>
      </w:r>
    </w:p>
    <w:p>
      <w:pPr>
        <w:pStyle w:val="BookList"/>
        <w:numPr>
          <w:ilvl w:val="0"/>
          <w:numId w:val="1003"/>
        </w:numPr>
      </w:pPr>
      <w:r>
        <w:rPr>
          <w:rFonts w:ascii="Noto Serif" w:hAnsi="Noto Serif" w:eastAsia="Noto Serif CJK SC" w:cs="Noto Serif"/>
          <w:color w:val="000000"/>
          <w:lang w:val="pt-BR" w:eastAsia="zh-CN" w:bidi="pt-BR"/>
        </w:rPr>
        <w:t>Os Quatro Inícios (início da primavera, do verão, do outono e do inverno); os Quatro Afastamentos (vésperas dos solstícios de inverno e de verão e dos equinócios da primavera e do outono); os Quatro Finais (vésperas dos Quatro Inícios); e os dois dias she (o quinto dia wu após o início da primavera e o quinto dia wu após o início do outono). Em todos eles, a transgressão reduz a vida em cinco anos.</w:t>
      </w:r>
    </w:p>
    <w:p>
      <w:pPr>
        <w:pStyle w:val="BookList"/>
        <w:numPr>
          <w:ilvl w:val="0"/>
          <w:numId w:val="1003"/>
        </w:numPr>
      </w:pPr>
      <w:r>
        <w:rPr>
          <w:rFonts w:ascii="Noto Serif" w:hAnsi="Noto Serif" w:eastAsia="Noto Serif CJK SC" w:cs="Noto Serif"/>
          <w:color w:val="000000"/>
          <w:lang w:val="pt-BR" w:eastAsia="zh-CN" w:bidi="pt-BR"/>
        </w:rPr>
        <w:t>Quem for concebido em um dia she terá todos os pelos e cabelos brancos.</w:t>
      </w:r>
    </w:p>
    <w:p>
      <w:pPr>
        <w:pStyle w:val="BookList"/>
        <w:numPr>
          <w:ilvl w:val="0"/>
          <w:numId w:val="1003"/>
        </w:numPr>
      </w:pPr>
      <w:r>
        <w:rPr>
          <w:rFonts w:ascii="Noto Serif" w:hAnsi="Noto Serif" w:eastAsia="Noto Serif CJK SC" w:cs="Noto Serif"/>
          <w:color w:val="000000"/>
          <w:lang w:val="pt-BR" w:eastAsia="zh-CN" w:bidi="pt-BR"/>
        </w:rPr>
        <w:t>Os três períodos fu (inicial, intermediário e final, cada qual com dez dias); os dias dos quartos da Lua (quarto crescente nos dias 7 e 8; quarto minguante nos dias 22 e 23); o último dia de cada mês lunar; e os três dias xin de cada mês. Em todos esses casos, a transgressão reduz a vida em um ano. A fonte repete: os períodos fu inicial, intermediário e final têm dez dias cada um.</w:t>
      </w:r>
    </w:p>
    <w:p>
      <w:pPr>
        <w:pStyle w:val="BookList"/>
        <w:numPr>
          <w:ilvl w:val="0"/>
          <w:numId w:val="1003"/>
        </w:numPr>
      </w:pPr>
      <w:r>
        <w:rPr>
          <w:rFonts w:ascii="Noto Serif" w:hAnsi="Noto Serif" w:eastAsia="Noto Serif CJK SC" w:cs="Noto Serif"/>
          <w:color w:val="000000"/>
          <w:lang w:val="pt-BR" w:eastAsia="zh-CN" w:bidi="pt-BR"/>
        </w:rPr>
        <w:t>Dias jiazi (</w:t>
      </w:r>
      <w:r>
        <w:rPr>
          <w:rFonts w:ascii="Noto Serif CJK SC" w:hAnsi="Noto Serif CJK SC" w:eastAsia="Noto Serif CJK SC" w:cs="Noto Serif CJK SC"/>
          <w:color w:val="000000"/>
          <w:lang w:val="pt-BR" w:eastAsia="zh-CN" w:bidi="pt-BR"/>
        </w:rPr>
        <w:t xml:space="preserve">甲子), </w:t>
      </w:r>
      <w:r>
        <w:rPr>
          <w:rFonts w:ascii="Noto Serif" w:hAnsi="Noto Serif" w:eastAsia="Noto Serif CJK SC" w:cs="Noto Serif"/>
          <w:color w:val="000000"/>
          <w:lang w:val="pt-BR" w:eastAsia="zh-CN" w:bidi="pt-BR"/>
        </w:rPr>
        <w:t>gengshen (</w:t>
      </w:r>
      <w:r>
        <w:rPr>
          <w:rFonts w:ascii="Noto Serif CJK SC" w:hAnsi="Noto Serif CJK SC" w:eastAsia="Noto Serif CJK SC" w:cs="Noto Serif CJK SC"/>
          <w:color w:val="000000"/>
          <w:lang w:val="pt-BR" w:eastAsia="zh-CN" w:bidi="pt-BR"/>
        </w:rPr>
        <w:t xml:space="preserve">庚申) </w:t>
      </w:r>
      <w:r>
        <w:rPr>
          <w:rFonts w:ascii="Noto Serif" w:hAnsi="Noto Serif" w:eastAsia="Noto Serif CJK SC" w:cs="Noto Serif"/>
          <w:color w:val="000000"/>
          <w:lang w:val="pt-BR" w:eastAsia="zh-CN" w:bidi="pt-BR"/>
        </w:rPr>
        <w:t>e de Taisui; dias em que se oferece incenso, se observa jejum ritual e se fazem oferendas de agradecimento a Buda. A transgressão reduz a vida em um ano.</w:t>
      </w:r>
    </w:p>
    <w:p>
      <w:pPr>
        <w:pStyle w:val="BookList"/>
        <w:numPr>
          <w:ilvl w:val="0"/>
          <w:numId w:val="1003"/>
        </w:numPr>
      </w:pPr>
      <w:r>
        <w:rPr>
          <w:rFonts w:ascii="Noto Serif" w:hAnsi="Noto Serif" w:eastAsia="Noto Serif CJK SC" w:cs="Noto Serif"/>
          <w:color w:val="000000"/>
          <w:lang w:val="pt-BR" w:eastAsia="zh-CN" w:bidi="pt-BR"/>
        </w:rPr>
        <w:t>Aniversários de falecimento dos antepassados; aniversários de nascimento e de falecimento dos pais. A transgressão reduz a vida em um ano.</w:t>
      </w:r>
    </w:p>
    <w:p>
      <w:pPr>
        <w:pStyle w:val="BookList"/>
        <w:numPr>
          <w:ilvl w:val="0"/>
          <w:numId w:val="1003"/>
        </w:numPr>
      </w:pPr>
      <w:r>
        <w:rPr>
          <w:rFonts w:ascii="Noto Serif" w:hAnsi="Noto Serif" w:eastAsia="Noto Serif CJK SC" w:cs="Noto Serif"/>
          <w:color w:val="000000"/>
          <w:lang w:val="pt-BR" w:eastAsia="zh-CN" w:bidi="pt-BR"/>
        </w:rPr>
        <w:t>Aniversários de nascimento de cada um dos cônjuges (</w:t>
      </w:r>
      <w:r>
        <w:rPr>
          <w:rFonts w:ascii="Noto Serif CJK SC" w:hAnsi="Noto Serif CJK SC" w:eastAsia="Noto Serif CJK SC" w:cs="Noto Serif CJK SC"/>
          <w:color w:val="000000"/>
          <w:lang w:val="pt-BR" w:eastAsia="zh-CN" w:bidi="pt-BR"/>
        </w:rPr>
        <w:t xml:space="preserve">本命诞日 </w:t>
      </w:r>
      <w:r>
        <w:rPr>
          <w:rFonts w:ascii="Noto Serif" w:hAnsi="Noto Serif" w:eastAsia="Noto Serif CJK SC" w:cs="Noto Serif"/>
          <w:color w:val="000000"/>
          <w:lang w:val="pt-BR" w:eastAsia="zh-CN" w:bidi="pt-BR"/>
        </w:rPr>
        <w:t>na fonte). A transgressão reduz a duração da vida.</w:t>
      </w:r>
    </w:p>
    <w:p>
      <w:pPr>
        <w:pStyle w:val="BookList"/>
        <w:numPr>
          <w:ilvl w:val="0"/>
          <w:numId w:val="1003"/>
        </w:numPr>
      </w:pPr>
      <w:r>
        <w:rPr>
          <w:rFonts w:ascii="Noto Serif" w:hAnsi="Noto Serif" w:eastAsia="Noto Serif CJK SC" w:cs="Noto Serif"/>
          <w:color w:val="000000"/>
          <w:lang w:val="pt-BR" w:eastAsia="zh-CN" w:bidi="pt-BR"/>
        </w:rPr>
        <w:t>Dias bing (</w:t>
      </w:r>
      <w:r>
        <w:rPr>
          <w:rFonts w:ascii="Noto Serif CJK SC" w:hAnsi="Noto Serif CJK SC" w:eastAsia="Noto Serif CJK SC" w:cs="Noto Serif CJK SC"/>
          <w:color w:val="000000"/>
          <w:lang w:val="pt-BR" w:eastAsia="zh-CN" w:bidi="pt-BR"/>
        </w:rPr>
        <w:t xml:space="preserve">丙) </w:t>
      </w:r>
      <w:r>
        <w:rPr>
          <w:rFonts w:ascii="Noto Serif" w:hAnsi="Noto Serif" w:eastAsia="Noto Serif CJK SC" w:cs="Noto Serif"/>
          <w:color w:val="000000"/>
          <w:lang w:val="pt-BR" w:eastAsia="zh-CN" w:bidi="pt-BR"/>
        </w:rPr>
        <w:t>e ding (</w:t>
      </w:r>
      <w:r>
        <w:rPr>
          <w:rFonts w:ascii="Noto Serif CJK SC" w:hAnsi="Noto Serif CJK SC" w:eastAsia="Noto Serif CJK SC" w:cs="Noto Serif CJK SC"/>
          <w:color w:val="000000"/>
          <w:lang w:val="pt-BR" w:eastAsia="zh-CN" w:bidi="pt-BR"/>
        </w:rPr>
        <w:t xml:space="preserve">丁); </w:t>
      </w:r>
      <w:r>
        <w:rPr>
          <w:rFonts w:ascii="Noto Serif" w:hAnsi="Noto Serif" w:eastAsia="Noto Serif CJK SC" w:cs="Noto Serif"/>
          <w:color w:val="000000"/>
          <w:lang w:val="pt-BR" w:eastAsia="zh-CN" w:bidi="pt-BR"/>
        </w:rPr>
        <w:t>dias de abertura dos celeiros do Céu e da Terra. A transgressão causa doença.</w:t>
      </w:r>
    </w:p>
    <w:p>
      <w:pPr>
        <w:pStyle w:val="BookList"/>
        <w:numPr>
          <w:ilvl w:val="0"/>
          <w:numId w:val="1003"/>
        </w:numPr>
      </w:pPr>
      <w:r>
        <w:rPr>
          <w:rFonts w:ascii="Noto Serif" w:hAnsi="Noto Serif" w:eastAsia="Noto Serif CJK SC" w:cs="Noto Serif"/>
          <w:color w:val="000000"/>
          <w:lang w:val="pt-BR" w:eastAsia="zh-CN" w:bidi="pt-BR"/>
        </w:rPr>
        <w:t>Dias de ruína: dia 18 dos meses de trinta dias e dia 17 dos meses de vinte e nove dias. A transgressão causa doença.</w:t>
      </w:r>
      <w:bookmarkEnd w:id="70"/>
    </w:p>
    <w:p>
      <w:pPr>
        <w:pStyle w:val="Heading3"/>
        <w:pageBreakBefore w:val="0"/>
      </w:pPr>
      <w:bookmarkStart w:id="72" w:name="b9c4ab6fcaf3e675aacbf22270db219"/>
      <w:bookmarkStart w:id="71" w:name="b6a275c4a1bcd7ab313d650da83b025"/>
      <w:bookmarkEnd w:id="71"/>
      <w:r>
        <w:rPr>
          <w:rFonts w:ascii="Noto Serif" w:hAnsi="Noto Serif" w:eastAsia="Noto Serif CJK SC" w:cs="Noto Serif"/>
          <w:color w:val="000000"/>
          <w:lang w:val="pt-BR" w:eastAsia="zh-CN" w:bidi="pt-BR"/>
        </w:rPr>
        <w:t>Dias das Dez Maleficências e da Grande Derrota</w:t>
      </w:r>
      <w:bookmarkEnd w:id="72"/>
    </w:p>
    <w:p>
      <w:pPr>
        <w:pStyle w:val="BookList"/>
        <w:numPr>
          <w:ilvl w:val="0"/>
          <w:numId w:val="1005"/>
        </w:numPr>
      </w:pPr>
      <w:bookmarkStart w:id="73" w:name="b1ae3b4834e03cf36e03913fc5817b3"/>
      <w:r>
        <w:rPr>
          <w:rFonts w:ascii="Noto Serif" w:hAnsi="Noto Serif" w:eastAsia="Noto Serif CJK SC" w:cs="Noto Serif"/>
          <w:color w:val="000000"/>
          <w:lang w:val="pt-BR" w:eastAsia="zh-CN" w:bidi="pt-BR"/>
        </w:rPr>
        <w:t>Nos anos jia (</w:t>
      </w:r>
      <w:r>
        <w:rPr>
          <w:rFonts w:ascii="Noto Serif CJK SC" w:hAnsi="Noto Serif CJK SC" w:eastAsia="Noto Serif CJK SC" w:cs="Noto Serif CJK SC"/>
          <w:color w:val="000000"/>
          <w:lang w:val="pt-BR" w:eastAsia="zh-CN" w:bidi="pt-BR"/>
        </w:rPr>
        <w:t xml:space="preserve">甲) </w:t>
      </w:r>
      <w:r>
        <w:rPr>
          <w:rFonts w:ascii="Noto Serif" w:hAnsi="Noto Serif" w:eastAsia="Noto Serif CJK SC" w:cs="Noto Serif"/>
          <w:color w:val="000000"/>
          <w:lang w:val="pt-BR" w:eastAsia="zh-CN" w:bidi="pt-BR"/>
        </w:rPr>
        <w:t>e ji (</w:t>
      </w:r>
      <w:r>
        <w:rPr>
          <w:rFonts w:ascii="Noto Serif CJK SC" w:hAnsi="Noto Serif CJK SC" w:eastAsia="Noto Serif CJK SC" w:cs="Noto Serif CJK SC"/>
          <w:color w:val="000000"/>
          <w:lang w:val="pt-BR" w:eastAsia="zh-CN" w:bidi="pt-BR"/>
        </w:rPr>
        <w:t xml:space="preserve">己): </w:t>
      </w:r>
      <w:r>
        <w:rPr>
          <w:rFonts w:ascii="Noto Serif" w:hAnsi="Noto Serif" w:eastAsia="Noto Serif CJK SC" w:cs="Noto Serif"/>
          <w:color w:val="000000"/>
          <w:lang w:val="pt-BR" w:eastAsia="zh-CN" w:bidi="pt-BR"/>
        </w:rPr>
        <w:t>dia wuxu (</w:t>
      </w:r>
      <w:r>
        <w:rPr>
          <w:rFonts w:ascii="Noto Serif CJK SC" w:hAnsi="Noto Serif CJK SC" w:eastAsia="Noto Serif CJK SC" w:cs="Noto Serif CJK SC"/>
          <w:color w:val="000000"/>
          <w:lang w:val="pt-BR" w:eastAsia="zh-CN" w:bidi="pt-BR"/>
        </w:rPr>
        <w:t xml:space="preserve">戊戌) </w:t>
      </w:r>
      <w:r>
        <w:rPr>
          <w:rFonts w:ascii="Noto Serif" w:hAnsi="Noto Serif" w:eastAsia="Noto Serif CJK SC" w:cs="Noto Serif"/>
          <w:color w:val="000000"/>
          <w:lang w:val="pt-BR" w:eastAsia="zh-CN" w:bidi="pt-BR"/>
        </w:rPr>
        <w:t>do 3º mês; guihai (</w:t>
      </w:r>
      <w:r>
        <w:rPr>
          <w:rFonts w:ascii="Noto Serif CJK SC" w:hAnsi="Noto Serif CJK SC" w:eastAsia="Noto Serif CJK SC" w:cs="Noto Serif CJK SC"/>
          <w:color w:val="000000"/>
          <w:lang w:val="pt-BR" w:eastAsia="zh-CN" w:bidi="pt-BR"/>
        </w:rPr>
        <w:t xml:space="preserve">癸亥) </w:t>
      </w:r>
      <w:r>
        <w:rPr>
          <w:rFonts w:ascii="Noto Serif" w:hAnsi="Noto Serif" w:eastAsia="Noto Serif CJK SC" w:cs="Noto Serif"/>
          <w:color w:val="000000"/>
          <w:lang w:val="pt-BR" w:eastAsia="zh-CN" w:bidi="pt-BR"/>
        </w:rPr>
        <w:t>do 7º; bingshen (</w:t>
      </w:r>
      <w:r>
        <w:rPr>
          <w:rFonts w:ascii="Noto Serif CJK SC" w:hAnsi="Noto Serif CJK SC" w:eastAsia="Noto Serif CJK SC" w:cs="Noto Serif CJK SC"/>
          <w:color w:val="000000"/>
          <w:lang w:val="pt-BR" w:eastAsia="zh-CN" w:bidi="pt-BR"/>
        </w:rPr>
        <w:t xml:space="preserve">丙申) </w:t>
      </w:r>
      <w:r>
        <w:rPr>
          <w:rFonts w:ascii="Noto Serif" w:hAnsi="Noto Serif" w:eastAsia="Noto Serif CJK SC" w:cs="Noto Serif"/>
          <w:color w:val="000000"/>
          <w:lang w:val="pt-BR" w:eastAsia="zh-CN" w:bidi="pt-BR"/>
        </w:rPr>
        <w:t>do 10º; dinghai (</w:t>
      </w:r>
      <w:r>
        <w:rPr>
          <w:rFonts w:ascii="Noto Serif CJK SC" w:hAnsi="Noto Serif CJK SC" w:eastAsia="Noto Serif CJK SC" w:cs="Noto Serif CJK SC"/>
          <w:color w:val="000000"/>
          <w:lang w:val="pt-BR" w:eastAsia="zh-CN" w:bidi="pt-BR"/>
        </w:rPr>
        <w:t xml:space="preserve">丁亥) </w:t>
      </w:r>
      <w:r>
        <w:rPr>
          <w:rFonts w:ascii="Noto Serif" w:hAnsi="Noto Serif" w:eastAsia="Noto Serif CJK SC" w:cs="Noto Serif"/>
          <w:color w:val="000000"/>
          <w:lang w:val="pt-BR" w:eastAsia="zh-CN" w:bidi="pt-BR"/>
        </w:rPr>
        <w:t>do 11º.</w:t>
      </w:r>
    </w:p>
    <w:p>
      <w:pPr>
        <w:pStyle w:val="BookList"/>
        <w:numPr>
          <w:ilvl w:val="0"/>
          <w:numId w:val="1005"/>
        </w:numPr>
      </w:pPr>
      <w:r>
        <w:rPr>
          <w:rFonts w:ascii="Noto Serif" w:hAnsi="Noto Serif" w:eastAsia="Noto Serif CJK SC" w:cs="Noto Serif"/>
          <w:color w:val="000000"/>
          <w:lang w:val="pt-BR" w:eastAsia="zh-CN" w:bidi="pt-BR"/>
        </w:rPr>
        <w:t>Nos anos yi (</w:t>
      </w:r>
      <w:r>
        <w:rPr>
          <w:rFonts w:ascii="Noto Serif CJK SC" w:hAnsi="Noto Serif CJK SC" w:eastAsia="Noto Serif CJK SC" w:cs="Noto Serif CJK SC"/>
          <w:color w:val="000000"/>
          <w:lang w:val="pt-BR" w:eastAsia="zh-CN" w:bidi="pt-BR"/>
        </w:rPr>
        <w:t xml:space="preserve">乙) </w:t>
      </w:r>
      <w:r>
        <w:rPr>
          <w:rFonts w:ascii="Noto Serif" w:hAnsi="Noto Serif" w:eastAsia="Noto Serif CJK SC" w:cs="Noto Serif"/>
          <w:color w:val="000000"/>
          <w:lang w:val="pt-BR" w:eastAsia="zh-CN" w:bidi="pt-BR"/>
        </w:rPr>
        <w:t>e geng (</w:t>
      </w:r>
      <w:r>
        <w:rPr>
          <w:rFonts w:ascii="Noto Serif CJK SC" w:hAnsi="Noto Serif CJK SC" w:eastAsia="Noto Serif CJK SC" w:cs="Noto Serif CJK SC"/>
          <w:color w:val="000000"/>
          <w:lang w:val="pt-BR" w:eastAsia="zh-CN" w:bidi="pt-BR"/>
        </w:rPr>
        <w:t xml:space="preserve">庚): </w:t>
      </w:r>
      <w:r>
        <w:rPr>
          <w:rFonts w:ascii="Noto Serif" w:hAnsi="Noto Serif" w:eastAsia="Noto Serif CJK SC" w:cs="Noto Serif"/>
          <w:color w:val="000000"/>
          <w:lang w:val="pt-BR" w:eastAsia="zh-CN" w:bidi="pt-BR"/>
        </w:rPr>
        <w:t>dia renshen (</w:t>
      </w:r>
      <w:r>
        <w:rPr>
          <w:rFonts w:ascii="Noto Serif CJK SC" w:hAnsi="Noto Serif CJK SC" w:eastAsia="Noto Serif CJK SC" w:cs="Noto Serif CJK SC"/>
          <w:color w:val="000000"/>
          <w:lang w:val="pt-BR" w:eastAsia="zh-CN" w:bidi="pt-BR"/>
        </w:rPr>
        <w:t xml:space="preserve">壬申) </w:t>
      </w:r>
      <w:r>
        <w:rPr>
          <w:rFonts w:ascii="Noto Serif" w:hAnsi="Noto Serif" w:eastAsia="Noto Serif CJK SC" w:cs="Noto Serif"/>
          <w:color w:val="000000"/>
          <w:lang w:val="pt-BR" w:eastAsia="zh-CN" w:bidi="pt-BR"/>
        </w:rPr>
        <w:t>do 4º mês; yisi (</w:t>
      </w:r>
      <w:r>
        <w:rPr>
          <w:rFonts w:ascii="Noto Serif CJK SC" w:hAnsi="Noto Serif CJK SC" w:eastAsia="Noto Serif CJK SC" w:cs="Noto Serif CJK SC"/>
          <w:color w:val="000000"/>
          <w:lang w:val="pt-BR" w:eastAsia="zh-CN" w:bidi="pt-BR"/>
        </w:rPr>
        <w:t xml:space="preserve">乙巳) </w:t>
      </w:r>
      <w:r>
        <w:rPr>
          <w:rFonts w:ascii="Noto Serif" w:hAnsi="Noto Serif" w:eastAsia="Noto Serif CJK SC" w:cs="Noto Serif"/>
          <w:color w:val="000000"/>
          <w:lang w:val="pt-BR" w:eastAsia="zh-CN" w:bidi="pt-BR"/>
        </w:rPr>
        <w:t>do 9º.</w:t>
      </w:r>
    </w:p>
    <w:p>
      <w:pPr>
        <w:pStyle w:val="BookList"/>
        <w:numPr>
          <w:ilvl w:val="0"/>
          <w:numId w:val="1005"/>
        </w:numPr>
      </w:pPr>
      <w:r>
        <w:rPr>
          <w:rFonts w:ascii="Noto Serif" w:hAnsi="Noto Serif" w:eastAsia="Noto Serif CJK SC" w:cs="Noto Serif"/>
          <w:color w:val="000000"/>
          <w:lang w:val="pt-BR" w:eastAsia="zh-CN" w:bidi="pt-BR"/>
        </w:rPr>
        <w:t>Nos anos bing (</w:t>
      </w:r>
      <w:r>
        <w:rPr>
          <w:rFonts w:ascii="Noto Serif CJK SC" w:hAnsi="Noto Serif CJK SC" w:eastAsia="Noto Serif CJK SC" w:cs="Noto Serif CJK SC"/>
          <w:color w:val="000000"/>
          <w:lang w:val="pt-BR" w:eastAsia="zh-CN" w:bidi="pt-BR"/>
        </w:rPr>
        <w:t xml:space="preserve">丙) </w:t>
      </w:r>
      <w:r>
        <w:rPr>
          <w:rFonts w:ascii="Noto Serif" w:hAnsi="Noto Serif" w:eastAsia="Noto Serif CJK SC" w:cs="Noto Serif"/>
          <w:color w:val="000000"/>
          <w:lang w:val="pt-BR" w:eastAsia="zh-CN" w:bidi="pt-BR"/>
        </w:rPr>
        <w:t>e xin (</w:t>
      </w:r>
      <w:r>
        <w:rPr>
          <w:rFonts w:ascii="Noto Serif CJK SC" w:hAnsi="Noto Serif CJK SC" w:eastAsia="Noto Serif CJK SC" w:cs="Noto Serif CJK SC"/>
          <w:color w:val="000000"/>
          <w:lang w:val="pt-BR" w:eastAsia="zh-CN" w:bidi="pt-BR"/>
        </w:rPr>
        <w:t xml:space="preserve">辛): </w:t>
      </w:r>
      <w:r>
        <w:rPr>
          <w:rFonts w:ascii="Noto Serif" w:hAnsi="Noto Serif" w:eastAsia="Noto Serif CJK SC" w:cs="Noto Serif"/>
          <w:color w:val="000000"/>
          <w:lang w:val="pt-BR" w:eastAsia="zh-CN" w:bidi="pt-BR"/>
        </w:rPr>
        <w:t>dia xinsi (</w:t>
      </w:r>
      <w:r>
        <w:rPr>
          <w:rFonts w:ascii="Noto Serif CJK SC" w:hAnsi="Noto Serif CJK SC" w:eastAsia="Noto Serif CJK SC" w:cs="Noto Serif CJK SC"/>
          <w:color w:val="000000"/>
          <w:lang w:val="pt-BR" w:eastAsia="zh-CN" w:bidi="pt-BR"/>
        </w:rPr>
        <w:t xml:space="preserve">辛巳) </w:t>
      </w:r>
      <w:r>
        <w:rPr>
          <w:rFonts w:ascii="Noto Serif" w:hAnsi="Noto Serif" w:eastAsia="Noto Serif CJK SC" w:cs="Noto Serif"/>
          <w:color w:val="000000"/>
          <w:lang w:val="pt-BR" w:eastAsia="zh-CN" w:bidi="pt-BR"/>
        </w:rPr>
        <w:t>do 3º mês; gengchen (</w:t>
      </w:r>
      <w:r>
        <w:rPr>
          <w:rFonts w:ascii="Noto Serif CJK SC" w:hAnsi="Noto Serif CJK SC" w:eastAsia="Noto Serif CJK SC" w:cs="Noto Serif CJK SC"/>
          <w:color w:val="000000"/>
          <w:lang w:val="pt-BR" w:eastAsia="zh-CN" w:bidi="pt-BR"/>
        </w:rPr>
        <w:t xml:space="preserve">庚辰) </w:t>
      </w:r>
      <w:r>
        <w:rPr>
          <w:rFonts w:ascii="Noto Serif" w:hAnsi="Noto Serif" w:eastAsia="Noto Serif CJK SC" w:cs="Noto Serif"/>
          <w:color w:val="000000"/>
          <w:lang w:val="pt-BR" w:eastAsia="zh-CN" w:bidi="pt-BR"/>
        </w:rPr>
        <w:t>do 9º; jiachen (</w:t>
      </w:r>
      <w:r>
        <w:rPr>
          <w:rFonts w:ascii="Noto Serif CJK SC" w:hAnsi="Noto Serif CJK SC" w:eastAsia="Noto Serif CJK SC" w:cs="Noto Serif CJK SC"/>
          <w:color w:val="000000"/>
          <w:lang w:val="pt-BR" w:eastAsia="zh-CN" w:bidi="pt-BR"/>
        </w:rPr>
        <w:t xml:space="preserve">甲辰) </w:t>
      </w:r>
      <w:r>
        <w:rPr>
          <w:rFonts w:ascii="Noto Serif" w:hAnsi="Noto Serif" w:eastAsia="Noto Serif CJK SC" w:cs="Noto Serif"/>
          <w:color w:val="000000"/>
          <w:lang w:val="pt-BR" w:eastAsia="zh-CN" w:bidi="pt-BR"/>
        </w:rPr>
        <w:t>do 10º.</w:t>
      </w:r>
    </w:p>
    <w:p>
      <w:pPr>
        <w:pStyle w:val="BookList"/>
        <w:numPr>
          <w:ilvl w:val="0"/>
          <w:numId w:val="1005"/>
        </w:numPr>
      </w:pPr>
      <w:r>
        <w:rPr>
          <w:rFonts w:ascii="Noto Serif" w:hAnsi="Noto Serif" w:eastAsia="Noto Serif CJK SC" w:cs="Noto Serif"/>
          <w:color w:val="000000"/>
          <w:lang w:val="pt-BR" w:eastAsia="zh-CN" w:bidi="pt-BR"/>
        </w:rPr>
        <w:t>Nos anos ding (</w:t>
      </w:r>
      <w:r>
        <w:rPr>
          <w:rFonts w:ascii="Noto Serif CJK SC" w:hAnsi="Noto Serif CJK SC" w:eastAsia="Noto Serif CJK SC" w:cs="Noto Serif CJK SC"/>
          <w:color w:val="000000"/>
          <w:lang w:val="pt-BR" w:eastAsia="zh-CN" w:bidi="pt-BR"/>
        </w:rPr>
        <w:t xml:space="preserve">丁) </w:t>
      </w:r>
      <w:r>
        <w:rPr>
          <w:rFonts w:ascii="Noto Serif" w:hAnsi="Noto Serif" w:eastAsia="Noto Serif CJK SC" w:cs="Noto Serif"/>
          <w:color w:val="000000"/>
          <w:lang w:val="pt-BR" w:eastAsia="zh-CN" w:bidi="pt-BR"/>
        </w:rPr>
        <w:t>e ren (</w:t>
      </w:r>
      <w:r>
        <w:rPr>
          <w:rFonts w:ascii="Noto Serif CJK SC" w:hAnsi="Noto Serif CJK SC" w:eastAsia="Noto Serif CJK SC" w:cs="Noto Serif CJK SC"/>
          <w:color w:val="000000"/>
          <w:lang w:val="pt-BR" w:eastAsia="zh-CN" w:bidi="pt-BR"/>
        </w:rPr>
        <w:t xml:space="preserve">壬): </w:t>
      </w:r>
      <w:r>
        <w:rPr>
          <w:rFonts w:ascii="Noto Serif" w:hAnsi="Noto Serif" w:eastAsia="Noto Serif CJK SC" w:cs="Noto Serif"/>
          <w:color w:val="000000"/>
          <w:lang w:val="pt-BR" w:eastAsia="zh-CN" w:bidi="pt-BR"/>
        </w:rPr>
        <w:t>não há interdição nesta categoria.</w:t>
      </w:r>
    </w:p>
    <w:p>
      <w:pPr>
        <w:pStyle w:val="BookList"/>
        <w:numPr>
          <w:ilvl w:val="0"/>
          <w:numId w:val="1005"/>
        </w:numPr>
      </w:pPr>
      <w:r>
        <w:rPr>
          <w:rFonts w:ascii="Noto Serif" w:hAnsi="Noto Serif" w:eastAsia="Noto Serif CJK SC" w:cs="Noto Serif"/>
          <w:color w:val="000000"/>
          <w:lang w:val="pt-BR" w:eastAsia="zh-CN" w:bidi="pt-BR"/>
        </w:rPr>
        <w:t>Nos anos wu (</w:t>
      </w:r>
      <w:r>
        <w:rPr>
          <w:rFonts w:ascii="Noto Serif CJK SC" w:hAnsi="Noto Serif CJK SC" w:eastAsia="Noto Serif CJK SC" w:cs="Noto Serif CJK SC"/>
          <w:color w:val="000000"/>
          <w:lang w:val="pt-BR" w:eastAsia="zh-CN" w:bidi="pt-BR"/>
        </w:rPr>
        <w:t xml:space="preserve">戊) </w:t>
      </w:r>
      <w:r>
        <w:rPr>
          <w:rFonts w:ascii="Noto Serif" w:hAnsi="Noto Serif" w:eastAsia="Noto Serif CJK SC" w:cs="Noto Serif"/>
          <w:color w:val="000000"/>
          <w:lang w:val="pt-BR" w:eastAsia="zh-CN" w:bidi="pt-BR"/>
        </w:rPr>
        <w:t>e gui (</w:t>
      </w:r>
      <w:r>
        <w:rPr>
          <w:rFonts w:ascii="Noto Serif CJK SC" w:hAnsi="Noto Serif CJK SC" w:eastAsia="Noto Serif CJK SC" w:cs="Noto Serif CJK SC"/>
          <w:color w:val="000000"/>
          <w:lang w:val="pt-BR" w:eastAsia="zh-CN" w:bidi="pt-BR"/>
        </w:rPr>
        <w:t xml:space="preserve">癸): </w:t>
      </w:r>
      <w:r>
        <w:rPr>
          <w:rFonts w:ascii="Noto Serif" w:hAnsi="Noto Serif" w:eastAsia="Noto Serif CJK SC" w:cs="Noto Serif"/>
          <w:color w:val="000000"/>
          <w:lang w:val="pt-BR" w:eastAsia="zh-CN" w:bidi="pt-BR"/>
        </w:rPr>
        <w:t>dia jichou (</w:t>
      </w:r>
      <w:r>
        <w:rPr>
          <w:rFonts w:ascii="Noto Serif CJK SC" w:hAnsi="Noto Serif CJK SC" w:eastAsia="Noto Serif CJK SC" w:cs="Noto Serif CJK SC"/>
          <w:color w:val="000000"/>
          <w:lang w:val="pt-BR" w:eastAsia="zh-CN" w:bidi="pt-BR"/>
        </w:rPr>
        <w:t xml:space="preserve">己丑) </w:t>
      </w:r>
      <w:r>
        <w:rPr>
          <w:rFonts w:ascii="Noto Serif" w:hAnsi="Noto Serif" w:eastAsia="Noto Serif CJK SC" w:cs="Noto Serif"/>
          <w:color w:val="000000"/>
          <w:lang w:val="pt-BR" w:eastAsia="zh-CN" w:bidi="pt-BR"/>
        </w:rPr>
        <w:t>do 6º mês.</w:t>
      </w:r>
      <w:bookmarkEnd w:id="73"/>
    </w:p>
    <w:p>
      <w:pPr>
        <w:pStyle w:val="BookFirst"/>
      </w:pPr>
      <w:bookmarkStart w:id="74" w:name="b4175e8f9944745a0cec8fb413f165b"/>
      <w:r>
        <w:rPr>
          <w:rFonts w:ascii="Noto Serif" w:hAnsi="Noto Serif" w:eastAsia="Noto Serif CJK SC" w:cs="Noto Serif"/>
          <w:color w:val="000000"/>
          <w:lang w:val="pt-BR" w:eastAsia="zh-CN" w:bidi="pt-BR"/>
        </w:rPr>
        <w:t>Todos os dias assim indicados são extremamente inauspiciosos. Deve-se observar a abstinência.</w:t>
      </w:r>
      <w:bookmarkEnd w:id="74"/>
    </w:p>
    <w:p>
      <w:pPr>
        <w:pStyle w:val="Heading3"/>
        <w:pageBreakBefore w:val="0"/>
      </w:pPr>
      <w:bookmarkStart w:id="76" w:name="bd93246a3aefad2d2ca25f5e0c15d40"/>
      <w:bookmarkStart w:id="75" w:name="b266f67f865ee821002a8c1ed1797b5"/>
      <w:bookmarkEnd w:id="75"/>
      <w:r>
        <w:rPr>
          <w:rFonts w:ascii="Noto Serif" w:hAnsi="Noto Serif" w:eastAsia="Noto Serif CJK SC" w:cs="Noto Serif"/>
          <w:color w:val="000000"/>
          <w:lang w:val="pt-BR" w:eastAsia="zh-CN" w:bidi="pt-BR"/>
        </w:rPr>
        <w:t>Dias de desajuste de yin</w:t>
      </w:r>
      <w:bookmarkEnd w:id="76"/>
    </w:p>
    <w:tbl>
      <w:tblPr>
        <w:tblW w:type="dxa" w:w="5556"/>
        <w:jc w:val="center"/>
        <w:tblLayout w:type="fixed"/>
        <w:tblLook w:firstColumn="1" w:firstRow="1" w:lastColumn="0" w:lastRow="0" w:noHBand="0" w:noVBand="1" w:val="04A0"/>
        <w:tblBorders>
          <w:top w:val="single" w:sz="4" w:color="777777"/>
          <w:left w:val="single" w:sz="4" w:color="777777"/>
          <w:bottom w:val="single" w:sz="4" w:color="777777"/>
          <w:right w:val="single" w:sz="4" w:color="777777"/>
          <w:insideH w:val="single" w:sz="4" w:color="777777"/>
          <w:insideV w:val="single" w:sz="4" w:color="777777"/>
        </w:tblBorders>
        <w:tblCellMar>
          <w:top w:w="65" w:type="dxa"/>
          <w:left w:w="75" w:type="dxa"/>
          <w:bottom w:w="65" w:type="dxa"/>
          <w:right w:w="75" w:type="dxa"/>
        </w:tblCellMar>
      </w:tblPr>
      <w:tblGrid>
        <w:gridCol w:w="1111"/>
        <w:gridCol w:w="1111"/>
        <w:gridCol w:w="1111"/>
        <w:gridCol w:w="1111"/>
        <w:gridCol w:w="1111"/>
      </w:tblGrid>
      <w:tr>
        <w:trPr>
          <w:cantSplit/>
          <w:tblHeader/>
        </w:trPr>
        <w:tc>
          <w:tcPr>
            <w:tcW w:type="dxa" w:w="1111"/>
            <w:vAlign w:val="center"/>
            <w:shd w:fill="EEEEEE" w:val="clear"/>
          </w:tcPr>
          <w:p>
            <w:pPr>
              <w:pStyle w:val="BookTable"/>
            </w:pPr>
            <w:bookmarkStart w:id="77" w:name="ba427ba1dcecff136a1783f66e0e7e0"/>
            <w:r>
              <w:rPr>
                <w:rFonts w:ascii="Noto Serif" w:hAnsi="Noto Serif" w:eastAsia="Noto Serif CJK SC" w:cs="Noto Serif"/>
                <w:color w:val="000000"/>
                <w:b w:val="1"/>
                <w:bCs w:val="1"/>
                <w:lang w:val="pt-BR" w:eastAsia="zh-CN" w:bidi="pt-BR"/>
              </w:rPr>
              <w:t>Datas, grupo 1</w:t>
            </w:r>
          </w:p>
        </w:tc>
        <w:tc>
          <w:tcPr>
            <w:tcW w:type="dxa" w:w="1111"/>
            <w:vAlign w:val="center"/>
            <w:shd w:fill="EEEEEE" w:val="clea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b w:val="1"/>
                <w:bCs w:val="1"/>
                <w:lang w:val="pt-BR" w:eastAsia="zh-CN" w:bidi="pt-BR"/>
              </w:rPr>
              <w:t>Datas, grupo 2</w:t>
            </w:r>
          </w:p>
        </w:tc>
        <w:tc>
          <w:tcPr>
            <w:tcW w:type="dxa" w:w="1111"/>
            <w:vAlign w:val="center"/>
            <w:shd w:fill="EEEEEE" w:val="clea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b w:val="1"/>
                <w:bCs w:val="1"/>
                <w:lang w:val="pt-BR" w:eastAsia="zh-CN" w:bidi="pt-BR"/>
              </w:rPr>
              <w:t>Datas, grupo 3</w:t>
            </w:r>
          </w:p>
        </w:tc>
        <w:tc>
          <w:tcPr>
            <w:tcW w:type="dxa" w:w="1111"/>
            <w:vAlign w:val="center"/>
            <w:shd w:fill="EEEEEE" w:val="clea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b w:val="1"/>
                <w:bCs w:val="1"/>
                <w:lang w:val="pt-BR" w:eastAsia="zh-CN" w:bidi="pt-BR"/>
              </w:rPr>
              <w:t>Datas, grupo 4</w:t>
            </w:r>
          </w:p>
        </w:tc>
        <w:tc>
          <w:tcPr>
            <w:tcW w:type="dxa" w:w="1111"/>
            <w:vAlign w:val="center"/>
            <w:shd w:fill="EEEEEE" w:val="clea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b w:val="1"/>
                <w:bCs w:val="1"/>
                <w:lang w:val="pt-BR" w:eastAsia="zh-CN" w:bidi="pt-BR"/>
              </w:rPr>
              <w:t>Indicação para todas as datas</w:t>
            </w:r>
          </w:p>
        </w:tc>
      </w:tr>
      <w:tr>
        <w:trPr>
          <w:cantSplit/>
        </w:trPr>
        <w:tc>
          <w:tcPr>
            <w:tcW w:type="dxa" w:w="1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1º mês: dia gengxu (</w:t>
            </w:r>
            <w:r>
              <w:rPr>
                <w:rFonts w:ascii="Noto Serif CJK SC" w:hAnsi="Noto Serif CJK SC" w:eastAsia="Noto Serif CJK SC" w:cs="Noto Serif CJK SC"/>
                <w:color w:val="000000"/>
                <w:lang w:val="pt-BR" w:eastAsia="zh-CN" w:bidi="pt-BR"/>
              </w:rPr>
              <w:t>庚戌)</w:t>
            </w:r>
          </w:p>
        </w:tc>
        <w:tc>
          <w:tcPr>
            <w:tcW w:type="dxa" w:w="1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2º mês: dia xinyou (</w:t>
            </w:r>
            <w:r>
              <w:rPr>
                <w:rFonts w:ascii="Noto Serif CJK SC" w:hAnsi="Noto Serif CJK SC" w:eastAsia="Noto Serif CJK SC" w:cs="Noto Serif CJK SC"/>
                <w:color w:val="000000"/>
                <w:lang w:val="pt-BR" w:eastAsia="zh-CN" w:bidi="pt-BR"/>
              </w:rPr>
              <w:t>辛酉)</w:t>
            </w:r>
          </w:p>
        </w:tc>
        <w:tc>
          <w:tcPr>
            <w:tcW w:type="dxa" w:w="1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3º mês: dia gengshen (</w:t>
            </w:r>
            <w:r>
              <w:rPr>
                <w:rFonts w:ascii="Noto Serif CJK SC" w:hAnsi="Noto Serif CJK SC" w:eastAsia="Noto Serif CJK SC" w:cs="Noto Serif CJK SC"/>
                <w:color w:val="000000"/>
                <w:lang w:val="pt-BR" w:eastAsia="zh-CN" w:bidi="pt-BR"/>
              </w:rPr>
              <w:t>庚申)</w:t>
            </w:r>
          </w:p>
        </w:tc>
        <w:tc>
          <w:tcPr>
            <w:tcW w:type="dxa" w:w="1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4º mês: dia dingwei (</w:t>
            </w:r>
            <w:r>
              <w:rPr>
                <w:rFonts w:ascii="Noto Serif CJK SC" w:hAnsi="Noto Serif CJK SC" w:eastAsia="Noto Serif CJK SC" w:cs="Noto Serif CJK SC"/>
                <w:color w:val="000000"/>
                <w:lang w:val="pt-BR" w:eastAsia="zh-CN" w:bidi="pt-BR"/>
              </w:rPr>
              <w:t>丁未)</w:t>
            </w:r>
          </w:p>
        </w:tc>
        <w:tc>
          <w:tcPr>
            <w:tcW w:type="dxa" w:w="1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São dias de insuficiência de yin. Deve-se observar a abstinência em todos eles.</w:t>
            </w:r>
          </w:p>
        </w:tc>
      </w:tr>
      <w:tr>
        <w:trPr>
          <w:cantSplit/>
        </w:trPr>
        <w:tc>
          <w:tcPr>
            <w:tcW w:type="dxa" w:w="1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5º mês: dia bingwu (</w:t>
            </w:r>
            <w:r>
              <w:rPr>
                <w:rFonts w:ascii="Noto Serif CJK SC" w:hAnsi="Noto Serif CJK SC" w:eastAsia="Noto Serif CJK SC" w:cs="Noto Serif CJK SC"/>
                <w:color w:val="000000"/>
                <w:lang w:val="pt-BR" w:eastAsia="zh-CN" w:bidi="pt-BR"/>
              </w:rPr>
              <w:t>丙午)</w:t>
            </w:r>
          </w:p>
        </w:tc>
        <w:tc>
          <w:tcPr>
            <w:tcW w:type="dxa" w:w="1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6º mês: dia dingsi (</w:t>
            </w:r>
            <w:r>
              <w:rPr>
                <w:rFonts w:ascii="Noto Serif CJK SC" w:hAnsi="Noto Serif CJK SC" w:eastAsia="Noto Serif CJK SC" w:cs="Noto Serif CJK SC"/>
                <w:color w:val="000000"/>
                <w:lang w:val="pt-BR" w:eastAsia="zh-CN" w:bidi="pt-BR"/>
              </w:rPr>
              <w:t>丁巳)</w:t>
            </w:r>
          </w:p>
        </w:tc>
        <w:tc>
          <w:tcPr>
            <w:tcW w:type="dxa" w:w="1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7º mês: dia jiachen (</w:t>
            </w:r>
            <w:r>
              <w:rPr>
                <w:rFonts w:ascii="Noto Serif CJK SC" w:hAnsi="Noto Serif CJK SC" w:eastAsia="Noto Serif CJK SC" w:cs="Noto Serif CJK SC"/>
                <w:color w:val="000000"/>
                <w:lang w:val="pt-BR" w:eastAsia="zh-CN" w:bidi="pt-BR"/>
              </w:rPr>
              <w:t>甲辰)</w:t>
            </w:r>
          </w:p>
        </w:tc>
        <w:tc>
          <w:tcPr>
            <w:tcW w:type="dxa" w:w="1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8º mês: dia yimao (</w:t>
            </w:r>
            <w:r>
              <w:rPr>
                <w:rFonts w:ascii="Noto Serif CJK SC" w:hAnsi="Noto Serif CJK SC" w:eastAsia="Noto Serif CJK SC" w:cs="Noto Serif CJK SC"/>
                <w:color w:val="000000"/>
                <w:lang w:val="pt-BR" w:eastAsia="zh-CN" w:bidi="pt-BR"/>
              </w:rPr>
              <w:t>乙卯)</w:t>
            </w:r>
          </w:p>
        </w:tc>
        <w:tc>
          <w:tcPr>
            <w:tcW w:type="dxa" w:w="1111"/>
            <w:vAlign w:val="center"/>
          </w:tcPr>
          <w:p>
            <w:pPr>
              <w:pStyle w:val="BookTable"/>
            </w:pPr>
          </w:p>
        </w:tc>
      </w:tr>
      <w:tr>
        <w:trPr>
          <w:cantSplit/>
        </w:trPr>
        <w:tc>
          <w:tcPr>
            <w:tcW w:type="dxa" w:w="1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9º mês: dia jiayin (</w:t>
            </w:r>
            <w:r>
              <w:rPr>
                <w:rFonts w:ascii="Noto Serif CJK SC" w:hAnsi="Noto Serif CJK SC" w:eastAsia="Noto Serif CJK SC" w:cs="Noto Serif CJK SC"/>
                <w:color w:val="000000"/>
                <w:lang w:val="pt-BR" w:eastAsia="zh-CN" w:bidi="pt-BR"/>
              </w:rPr>
              <w:t>甲寅)</w:t>
            </w:r>
          </w:p>
        </w:tc>
        <w:tc>
          <w:tcPr>
            <w:tcW w:type="dxa" w:w="1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10º mês: dia guichou (</w:t>
            </w:r>
            <w:r>
              <w:rPr>
                <w:rFonts w:ascii="Noto Serif CJK SC" w:hAnsi="Noto Serif CJK SC" w:eastAsia="Noto Serif CJK SC" w:cs="Noto Serif CJK SC"/>
                <w:color w:val="000000"/>
                <w:lang w:val="pt-BR" w:eastAsia="zh-CN" w:bidi="pt-BR"/>
              </w:rPr>
              <w:t>癸丑)</w:t>
            </w:r>
          </w:p>
        </w:tc>
        <w:tc>
          <w:tcPr>
            <w:tcW w:type="dxa" w:w="1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11º mês: dia renzi (</w:t>
            </w:r>
            <w:r>
              <w:rPr>
                <w:rFonts w:ascii="Noto Serif CJK SC" w:hAnsi="Noto Serif CJK SC" w:eastAsia="Noto Serif CJK SC" w:cs="Noto Serif CJK SC"/>
                <w:color w:val="000000"/>
                <w:lang w:val="pt-BR" w:eastAsia="zh-CN" w:bidi="pt-BR"/>
              </w:rPr>
              <w:t>壬子)</w:t>
            </w:r>
          </w:p>
        </w:tc>
        <w:tc>
          <w:tcPr>
            <w:tcW w:type="dxa" w:w="1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12º mês: dia guihai (</w:t>
            </w:r>
            <w:r>
              <w:rPr>
                <w:rFonts w:ascii="Noto Serif CJK SC" w:hAnsi="Noto Serif CJK SC" w:eastAsia="Noto Serif CJK SC" w:cs="Noto Serif CJK SC"/>
                <w:color w:val="000000"/>
                <w:lang w:val="pt-BR" w:eastAsia="zh-CN" w:bidi="pt-BR"/>
              </w:rPr>
              <w:t>癸亥)</w:t>
            </w:r>
          </w:p>
        </w:tc>
        <w:tc>
          <w:tcPr>
            <w:tcW w:type="dxa" w:w="1111"/>
            <w:vAlign w:val="center"/>
          </w:tcPr>
          <w:p>
            <w:pPr>
              <w:pStyle w:val="BookTable"/>
            </w:pPr>
            <w:bookmarkEnd w:id="77"/>
          </w:p>
        </w:tc>
      </w:tr>
    </w:tbl>
    <w:p>
      <w:pPr>
        <w:pStyle w:val="BookFirst"/>
      </w:pPr>
      <w:bookmarkStart w:id="78" w:name="bdb3495d59d3ac012b8da9d5b60bf90"/>
      <w:r>
        <w:rPr>
          <w:rFonts w:ascii="Noto Serif" w:hAnsi="Noto Serif" w:eastAsia="Noto Serif CJK SC" w:cs="Noto Serif"/>
          <w:color w:val="000000"/>
          <w:lang w:val="pt-BR" w:eastAsia="zh-CN" w:bidi="pt-BR"/>
        </w:rPr>
        <w:t>Leitura das células compartilhadas: A indicação de insuficiência de yin e abstinência abrange todas as doze datas.</w:t>
      </w:r>
      <w:bookmarkEnd w:id="78"/>
    </w:p>
    <w:p>
      <w:pPr>
        <w:pStyle w:val="Heading3"/>
        <w:pageBreakBefore w:val="0"/>
      </w:pPr>
      <w:bookmarkStart w:id="80" w:name="b8192f4fe3e0d5cb35b5c4a1f35c7b0"/>
      <w:bookmarkStart w:id="79" w:name="b929a0b08fecb6cbdc57c85a08e1bbb"/>
      <w:bookmarkEnd w:id="79"/>
      <w:r>
        <w:rPr>
          <w:rFonts w:ascii="Noto Serif" w:hAnsi="Noto Serif" w:eastAsia="Noto Serif CJK SC" w:cs="Noto Serif"/>
          <w:color w:val="000000"/>
          <w:lang w:val="pt-BR" w:eastAsia="zh-CN" w:bidi="pt-BR"/>
        </w:rPr>
        <w:t>Dias de desajuste de yang</w:t>
      </w:r>
      <w:bookmarkEnd w:id="80"/>
    </w:p>
    <w:tbl>
      <w:tblPr>
        <w:tblW w:type="dxa" w:w="5556"/>
        <w:jc w:val="center"/>
        <w:tblLayout w:type="fixed"/>
        <w:tblLook w:firstColumn="1" w:firstRow="1" w:lastColumn="0" w:lastRow="0" w:noHBand="0" w:noVBand="1" w:val="04A0"/>
        <w:tblBorders>
          <w:top w:val="single" w:sz="4" w:color="777777"/>
          <w:left w:val="single" w:sz="4" w:color="777777"/>
          <w:bottom w:val="single" w:sz="4" w:color="777777"/>
          <w:right w:val="single" w:sz="4" w:color="777777"/>
          <w:insideH w:val="single" w:sz="4" w:color="777777"/>
          <w:insideV w:val="single" w:sz="4" w:color="777777"/>
        </w:tblBorders>
        <w:tblCellMar>
          <w:top w:w="65" w:type="dxa"/>
          <w:left w:w="75" w:type="dxa"/>
          <w:bottom w:w="65" w:type="dxa"/>
          <w:right w:w="75" w:type="dxa"/>
        </w:tblCellMar>
      </w:tblPr>
      <w:tblGrid>
        <w:gridCol w:w="1111"/>
        <w:gridCol w:w="1111"/>
        <w:gridCol w:w="1111"/>
        <w:gridCol w:w="1111"/>
        <w:gridCol w:w="1111"/>
      </w:tblGrid>
      <w:tr>
        <w:trPr>
          <w:cantSplit/>
          <w:tblHeader/>
        </w:trPr>
        <w:tc>
          <w:tcPr>
            <w:tcW w:type="dxa" w:w="1111"/>
            <w:vAlign w:val="center"/>
            <w:shd w:fill="EEEEEE" w:val="clear"/>
          </w:tcPr>
          <w:p>
            <w:pPr>
              <w:pStyle w:val="BookTable"/>
            </w:pPr>
            <w:bookmarkStart w:id="81" w:name="b947fce60e973a23f1f3a9f77a1226f"/>
            <w:r>
              <w:rPr>
                <w:rFonts w:ascii="Noto Serif" w:hAnsi="Noto Serif" w:eastAsia="Noto Serif CJK SC" w:cs="Noto Serif"/>
                <w:color w:val="000000"/>
                <w:b w:val="1"/>
                <w:bCs w:val="1"/>
                <w:lang w:val="pt-BR" w:eastAsia="zh-CN" w:bidi="pt-BR"/>
              </w:rPr>
              <w:t>Datas, grupo 1</w:t>
            </w:r>
          </w:p>
        </w:tc>
        <w:tc>
          <w:tcPr>
            <w:tcW w:type="dxa" w:w="1111"/>
            <w:vAlign w:val="center"/>
            <w:shd w:fill="EEEEEE" w:val="clea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b w:val="1"/>
                <w:bCs w:val="1"/>
                <w:lang w:val="pt-BR" w:eastAsia="zh-CN" w:bidi="pt-BR"/>
              </w:rPr>
              <w:t>Datas, grupo 2</w:t>
            </w:r>
          </w:p>
        </w:tc>
        <w:tc>
          <w:tcPr>
            <w:tcW w:type="dxa" w:w="1111"/>
            <w:vAlign w:val="center"/>
            <w:shd w:fill="EEEEEE" w:val="clea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b w:val="1"/>
                <w:bCs w:val="1"/>
                <w:lang w:val="pt-BR" w:eastAsia="zh-CN" w:bidi="pt-BR"/>
              </w:rPr>
              <w:t>Datas, grupo 3</w:t>
            </w:r>
          </w:p>
        </w:tc>
        <w:tc>
          <w:tcPr>
            <w:tcW w:type="dxa" w:w="1111"/>
            <w:vAlign w:val="center"/>
            <w:shd w:fill="EEEEEE" w:val="clea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b w:val="1"/>
                <w:bCs w:val="1"/>
                <w:lang w:val="pt-BR" w:eastAsia="zh-CN" w:bidi="pt-BR"/>
              </w:rPr>
              <w:t>Datas, grupo 4</w:t>
            </w:r>
          </w:p>
        </w:tc>
        <w:tc>
          <w:tcPr>
            <w:tcW w:type="dxa" w:w="1111"/>
            <w:vAlign w:val="center"/>
            <w:shd w:fill="EEEEEE" w:val="clea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b w:val="1"/>
                <w:bCs w:val="1"/>
                <w:lang w:val="pt-BR" w:eastAsia="zh-CN" w:bidi="pt-BR"/>
              </w:rPr>
              <w:t>Indicação para todas as datas</w:t>
            </w:r>
          </w:p>
        </w:tc>
      </w:tr>
      <w:tr>
        <w:trPr>
          <w:cantSplit/>
        </w:trPr>
        <w:tc>
          <w:tcPr>
            <w:tcW w:type="dxa" w:w="1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1º mês: “dia shenyin” (</w:t>
            </w:r>
            <w:r>
              <w:rPr>
                <w:rFonts w:ascii="Noto Serif CJK SC" w:hAnsi="Noto Serif CJK SC" w:eastAsia="Noto Serif CJK SC" w:cs="Noto Serif CJK SC"/>
                <w:color w:val="000000"/>
                <w:lang w:val="pt-BR" w:eastAsia="zh-CN" w:bidi="pt-BR"/>
              </w:rPr>
              <w:t xml:space="preserve">申寅), </w:t>
            </w: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tal como consta da fonte</w:t>
            </w:r>
          </w:p>
        </w:tc>
        <w:tc>
          <w:tcPr>
            <w:tcW w:type="dxa" w:w="1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2º mês: dia yimao (</w:t>
            </w:r>
            <w:r>
              <w:rPr>
                <w:rFonts w:ascii="Noto Serif CJK SC" w:hAnsi="Noto Serif CJK SC" w:eastAsia="Noto Serif CJK SC" w:cs="Noto Serif CJK SC"/>
                <w:color w:val="000000"/>
                <w:lang w:val="pt-BR" w:eastAsia="zh-CN" w:bidi="pt-BR"/>
              </w:rPr>
              <w:t>乙卯)</w:t>
            </w:r>
          </w:p>
        </w:tc>
        <w:tc>
          <w:tcPr>
            <w:tcW w:type="dxa" w:w="1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3º mês: dia jiachen (</w:t>
            </w:r>
            <w:r>
              <w:rPr>
                <w:rFonts w:ascii="Noto Serif CJK SC" w:hAnsi="Noto Serif CJK SC" w:eastAsia="Noto Serif CJK SC" w:cs="Noto Serif CJK SC"/>
                <w:color w:val="000000"/>
                <w:lang w:val="pt-BR" w:eastAsia="zh-CN" w:bidi="pt-BR"/>
              </w:rPr>
              <w:t>甲辰)</w:t>
            </w:r>
          </w:p>
        </w:tc>
        <w:tc>
          <w:tcPr>
            <w:tcW w:type="dxa" w:w="1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4º mês: dia dingsi (</w:t>
            </w:r>
            <w:r>
              <w:rPr>
                <w:rFonts w:ascii="Noto Serif CJK SC" w:hAnsi="Noto Serif CJK SC" w:eastAsia="Noto Serif CJK SC" w:cs="Noto Serif CJK SC"/>
                <w:color w:val="000000"/>
                <w:lang w:val="pt-BR" w:eastAsia="zh-CN" w:bidi="pt-BR"/>
              </w:rPr>
              <w:t>丁巳)</w:t>
            </w:r>
          </w:p>
        </w:tc>
        <w:tc>
          <w:tcPr>
            <w:tcW w:type="dxa" w:w="1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São dias de insuficiência de yang. Deve-se observar a abstinência em todos eles.</w:t>
            </w:r>
          </w:p>
        </w:tc>
      </w:tr>
      <w:tr>
        <w:trPr>
          <w:cantSplit/>
        </w:trPr>
        <w:tc>
          <w:tcPr>
            <w:tcW w:type="dxa" w:w="1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5º mês: dia bingwu (</w:t>
            </w:r>
            <w:r>
              <w:rPr>
                <w:rFonts w:ascii="Noto Serif CJK SC" w:hAnsi="Noto Serif CJK SC" w:eastAsia="Noto Serif CJK SC" w:cs="Noto Serif CJK SC"/>
                <w:color w:val="000000"/>
                <w:lang w:val="pt-BR" w:eastAsia="zh-CN" w:bidi="pt-BR"/>
              </w:rPr>
              <w:t>丙午)</w:t>
            </w:r>
          </w:p>
        </w:tc>
        <w:tc>
          <w:tcPr>
            <w:tcW w:type="dxa" w:w="1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6º mês: dia dingwei (</w:t>
            </w:r>
            <w:r>
              <w:rPr>
                <w:rFonts w:ascii="Noto Serif CJK SC" w:hAnsi="Noto Serif CJK SC" w:eastAsia="Noto Serif CJK SC" w:cs="Noto Serif CJK SC"/>
                <w:color w:val="000000"/>
                <w:lang w:val="pt-BR" w:eastAsia="zh-CN" w:bidi="pt-BR"/>
              </w:rPr>
              <w:t>丁未)</w:t>
            </w:r>
          </w:p>
        </w:tc>
        <w:tc>
          <w:tcPr>
            <w:tcW w:type="dxa" w:w="1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7º mês: dia gengshen (</w:t>
            </w:r>
            <w:r>
              <w:rPr>
                <w:rFonts w:ascii="Noto Serif CJK SC" w:hAnsi="Noto Serif CJK SC" w:eastAsia="Noto Serif CJK SC" w:cs="Noto Serif CJK SC"/>
                <w:color w:val="000000"/>
                <w:lang w:val="pt-BR" w:eastAsia="zh-CN" w:bidi="pt-BR"/>
              </w:rPr>
              <w:t>庚申)</w:t>
            </w:r>
          </w:p>
        </w:tc>
        <w:tc>
          <w:tcPr>
            <w:tcW w:type="dxa" w:w="1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8º mês: dia xinyou (</w:t>
            </w:r>
            <w:r>
              <w:rPr>
                <w:rFonts w:ascii="Noto Serif CJK SC" w:hAnsi="Noto Serif CJK SC" w:eastAsia="Noto Serif CJK SC" w:cs="Noto Serif CJK SC"/>
                <w:color w:val="000000"/>
                <w:lang w:val="pt-BR" w:eastAsia="zh-CN" w:bidi="pt-BR"/>
              </w:rPr>
              <w:t>辛酉)</w:t>
            </w:r>
          </w:p>
        </w:tc>
        <w:tc>
          <w:tcPr>
            <w:tcW w:type="dxa" w:w="1111"/>
            <w:vAlign w:val="center"/>
          </w:tcPr>
          <w:p>
            <w:pPr>
              <w:pStyle w:val="BookTable"/>
            </w:pPr>
          </w:p>
        </w:tc>
      </w:tr>
      <w:tr>
        <w:trPr>
          <w:cantSplit/>
        </w:trPr>
        <w:tc>
          <w:tcPr>
            <w:tcW w:type="dxa" w:w="1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9º mês: dia gengxu (</w:t>
            </w:r>
            <w:r>
              <w:rPr>
                <w:rFonts w:ascii="Noto Serif CJK SC" w:hAnsi="Noto Serif CJK SC" w:eastAsia="Noto Serif CJK SC" w:cs="Noto Serif CJK SC"/>
                <w:color w:val="000000"/>
                <w:lang w:val="pt-BR" w:eastAsia="zh-CN" w:bidi="pt-BR"/>
              </w:rPr>
              <w:t>庚戌)</w:t>
            </w:r>
          </w:p>
        </w:tc>
        <w:tc>
          <w:tcPr>
            <w:tcW w:type="dxa" w:w="1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10º mês: dia guihai (</w:t>
            </w:r>
            <w:r>
              <w:rPr>
                <w:rFonts w:ascii="Noto Serif CJK SC" w:hAnsi="Noto Serif CJK SC" w:eastAsia="Noto Serif CJK SC" w:cs="Noto Serif CJK SC"/>
                <w:color w:val="000000"/>
                <w:lang w:val="pt-BR" w:eastAsia="zh-CN" w:bidi="pt-BR"/>
              </w:rPr>
              <w:t>癸亥)</w:t>
            </w:r>
          </w:p>
        </w:tc>
        <w:tc>
          <w:tcPr>
            <w:tcW w:type="dxa" w:w="1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11º mês: dia renzi (</w:t>
            </w:r>
            <w:r>
              <w:rPr>
                <w:rFonts w:ascii="Noto Serif CJK SC" w:hAnsi="Noto Serif CJK SC" w:eastAsia="Noto Serif CJK SC" w:cs="Noto Serif CJK SC"/>
                <w:color w:val="000000"/>
                <w:lang w:val="pt-BR" w:eastAsia="zh-CN" w:bidi="pt-BR"/>
              </w:rPr>
              <w:t>壬子)</w:t>
            </w:r>
          </w:p>
        </w:tc>
        <w:tc>
          <w:tcPr>
            <w:tcW w:type="dxa" w:w="1111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12º mês: dia guichou (</w:t>
            </w:r>
            <w:r>
              <w:rPr>
                <w:rFonts w:ascii="Noto Serif CJK SC" w:hAnsi="Noto Serif CJK SC" w:eastAsia="Noto Serif CJK SC" w:cs="Noto Serif CJK SC"/>
                <w:color w:val="000000"/>
                <w:lang w:val="pt-BR" w:eastAsia="zh-CN" w:bidi="pt-BR"/>
              </w:rPr>
              <w:t>癸丑)</w:t>
            </w:r>
          </w:p>
        </w:tc>
        <w:tc>
          <w:tcPr>
            <w:tcW w:type="dxa" w:w="1111"/>
            <w:vAlign w:val="center"/>
          </w:tcPr>
          <w:p>
            <w:pPr>
              <w:pStyle w:val="BookTable"/>
            </w:pPr>
            <w:bookmarkEnd w:id="81"/>
          </w:p>
        </w:tc>
      </w:tr>
    </w:tbl>
    <w:p>
      <w:pPr>
        <w:pStyle w:val="BookFirst"/>
      </w:pPr>
      <w:bookmarkStart w:id="82" w:name="be1e19ff1fad2ba0317cd7078c56ae2"/>
      <w:r>
        <w:rPr>
          <w:rFonts w:ascii="Noto Serif" w:hAnsi="Noto Serif" w:eastAsia="Noto Serif CJK SC" w:cs="Noto Serif"/>
          <w:color w:val="000000"/>
          <w:lang w:val="pt-BR" w:eastAsia="zh-CN" w:bidi="pt-BR"/>
        </w:rPr>
        <w:t>Leitura das células compartilhadas: A indicação de insuficiência de yang e abstinência abrange todas as doze datas.</w:t>
      </w:r>
      <w:bookmarkEnd w:id="82"/>
    </w:p>
    <w:p>
      <w:pPr/>
      <w:bookmarkStart w:id="83" w:name="bdd6cf8e490a6e20f60c5c286932efb"/>
      <w:r>
        <w:rPr>
          <w:rFonts w:ascii="Noto Serif" w:hAnsi="Noto Serif" w:eastAsia="Noto Serif CJK SC" w:cs="Noto Serif"/>
          <w:color w:val="000000"/>
          <w:lang w:val="pt-BR" w:eastAsia="zh-CN" w:bidi="pt-BR"/>
        </w:rPr>
        <w:t>Comentário da fonte: a cada ano, consultar o calendário Shixian, verificar mês a mês todos os períodos de abstinência acima e copiá-los em uma folha para guardar neste livro, observando as interdições indicadas.</w:t>
      </w:r>
      <w:bookmarkEnd w:id="83"/>
    </w:p>
    <w:p>
      <w:pPr>
        <w:pStyle w:val="Heading3"/>
        <w:pageBreakBefore w:val="0"/>
      </w:pPr>
      <w:bookmarkStart w:id="85" w:name="bb79da2bb8859dc5e5dacfc91a33d23"/>
      <w:bookmarkStart w:id="84" w:name="b2f1b3b24c9d17613ee4bbb2041fa25"/>
      <w:bookmarkEnd w:id="84"/>
      <w:r>
        <w:rPr>
          <w:rFonts w:ascii="Noto Serif" w:hAnsi="Noto Serif" w:eastAsia="Noto Serif CJK SC" w:cs="Noto Serif"/>
          <w:color w:val="000000"/>
          <w:lang w:val="pt-BR" w:eastAsia="zh-CN" w:bidi="pt-BR"/>
        </w:rPr>
        <w:t>Interdições do Céu: observar rigorosamente a abstinência</w:t>
      </w:r>
      <w:bookmarkEnd w:id="85"/>
    </w:p>
    <w:tbl>
      <w:tblPr>
        <w:tblW w:type="dxa" w:w="5556"/>
        <w:jc w:val="center"/>
        <w:tblLayout w:type="fixed"/>
        <w:tblLook w:firstColumn="1" w:firstRow="1" w:lastColumn="0" w:lastRow="0" w:noHBand="0" w:noVBand="1" w:val="04A0"/>
        <w:tblBorders>
          <w:top w:val="single" w:sz="4" w:color="777777"/>
          <w:left w:val="single" w:sz="4" w:color="777777"/>
          <w:bottom w:val="single" w:sz="4" w:color="777777"/>
          <w:right w:val="single" w:sz="4" w:color="777777"/>
          <w:insideH w:val="single" w:sz="4" w:color="777777"/>
          <w:insideV w:val="single" w:sz="4" w:color="777777"/>
        </w:tblBorders>
        <w:tblCellMar>
          <w:top w:w="65" w:type="dxa"/>
          <w:left w:w="75" w:type="dxa"/>
          <w:bottom w:w="65" w:type="dxa"/>
          <w:right w:w="75" w:type="dxa"/>
        </w:tblCellMar>
      </w:tblPr>
      <w:tblGrid>
        <w:gridCol w:w="2778"/>
        <w:gridCol w:w="2778"/>
      </w:tblGrid>
      <w:tr>
        <w:trPr>
          <w:cantSplit/>
          <w:tblHeader/>
        </w:trPr>
        <w:tc>
          <w:tcPr>
            <w:tcW w:type="dxa" w:w="2778"/>
            <w:vAlign w:val="center"/>
            <w:shd w:fill="EEEEEE" w:val="clear"/>
          </w:tcPr>
          <w:p>
            <w:pPr>
              <w:pStyle w:val="BookTable"/>
            </w:pPr>
            <w:bookmarkStart w:id="86" w:name="b31be762c257e63586646c425195980"/>
            <w:r>
              <w:rPr>
                <w:rFonts w:ascii="Noto Serif" w:hAnsi="Noto Serif" w:eastAsia="Noto Serif CJK SC" w:cs="Noto Serif"/>
                <w:color w:val="000000"/>
                <w:b w:val="1"/>
                <w:bCs w:val="1"/>
                <w:lang w:val="pt-BR" w:eastAsia="zh-CN" w:bidi="pt-BR"/>
              </w:rPr>
              <w:t>Circunstância ou orientação</w:t>
            </w:r>
          </w:p>
        </w:tc>
        <w:tc>
          <w:tcPr>
            <w:tcW w:type="dxa" w:w="2778"/>
            <w:vAlign w:val="center"/>
            <w:shd w:fill="EEEEEE" w:val="clea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b w:val="1"/>
                <w:bCs w:val="1"/>
                <w:lang w:val="pt-BR" w:eastAsia="zh-CN" w:bidi="pt-BR"/>
              </w:rPr>
              <w:t>Consequência segundo a fonte</w:t>
            </w:r>
          </w:p>
        </w:tc>
      </w:tr>
      <w:tr>
        <w:trPr>
          <w:cantSplit/>
        </w:trPr>
        <w:tc>
          <w:tcPr>
            <w:tcW w:type="dxa" w:w="2778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Calor extremo ou frio intenso.</w:t>
            </w:r>
          </w:p>
        </w:tc>
        <w:tc>
          <w:tcPr>
            <w:tcW w:type="dxa" w:w="2778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A transgressão causa doença grave sem possibilidade de cura.</w:t>
            </w:r>
          </w:p>
        </w:tc>
      </w:tr>
      <w:tr>
        <w:trPr>
          <w:cantSplit/>
        </w:trPr>
        <w:tc>
          <w:tcPr>
            <w:tcW w:type="dxa" w:w="2778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Ventos violentos, trovões e chuva; escuridão no Céu e na Terra; eclipses solares e lunares; aparecimento de arco-íris e tremores de terra.</w:t>
            </w:r>
          </w:p>
        </w:tc>
        <w:tc>
          <w:tcPr>
            <w:tcW w:type="dxa" w:w="2778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A transgressão leva ao nascimento de seres monstruosos e à morte de quem transgride.</w:t>
            </w:r>
          </w:p>
        </w:tc>
      </w:tr>
      <w:tr>
        <w:trPr>
          <w:cantSplit/>
        </w:trPr>
        <w:tc>
          <w:tcPr>
            <w:tcW w:type="dxa" w:w="2778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Durante o dia; sob as estrelas e a Lua; diante da luz de lamparinas ou do fogo.</w:t>
            </w:r>
          </w:p>
        </w:tc>
        <w:tc>
          <w:tcPr>
            <w:tcW w:type="dxa" w:w="2778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Qualquer transgressão reduz a duração da vida.</w:t>
            </w:r>
            <w:bookmarkEnd w:id="86"/>
          </w:p>
        </w:tc>
      </w:tr>
    </w:tbl>
    <w:p>
      <w:pPr>
        <w:pStyle w:val="Heading3"/>
        <w:pageBreakBefore w:val="0"/>
      </w:pPr>
      <w:bookmarkStart w:id="88" w:name="bd1dcf4970bd532c2ce9a8b27812cd5"/>
      <w:bookmarkStart w:id="87" w:name="bccb4a250a77becb48281e07086309b"/>
      <w:bookmarkEnd w:id="87"/>
      <w:r>
        <w:rPr>
          <w:rFonts w:ascii="Noto Serif" w:hAnsi="Noto Serif" w:eastAsia="Noto Serif CJK SC" w:cs="Noto Serif"/>
          <w:color w:val="000000"/>
          <w:lang w:val="pt-BR" w:eastAsia="zh-CN" w:bidi="pt-BR"/>
        </w:rPr>
        <w:t>Interdições da Terra: observar rigorosamente a abstinência</w:t>
      </w:r>
      <w:bookmarkEnd w:id="88"/>
    </w:p>
    <w:tbl>
      <w:tblPr>
        <w:tblW w:type="dxa" w:w="5556"/>
        <w:jc w:val="center"/>
        <w:tblLayout w:type="fixed"/>
        <w:tblLook w:firstColumn="1" w:firstRow="1" w:lastColumn="0" w:lastRow="0" w:noHBand="0" w:noVBand="1" w:val="04A0"/>
        <w:tblBorders>
          <w:top w:val="single" w:sz="4" w:color="777777"/>
          <w:left w:val="single" w:sz="4" w:color="777777"/>
          <w:bottom w:val="single" w:sz="4" w:color="777777"/>
          <w:right w:val="single" w:sz="4" w:color="777777"/>
          <w:insideH w:val="single" w:sz="4" w:color="777777"/>
          <w:insideV w:val="single" w:sz="4" w:color="777777"/>
        </w:tblBorders>
        <w:tblCellMar>
          <w:top w:w="65" w:type="dxa"/>
          <w:left w:w="75" w:type="dxa"/>
          <w:bottom w:w="65" w:type="dxa"/>
          <w:right w:w="75" w:type="dxa"/>
        </w:tblCellMar>
      </w:tblPr>
      <w:tblGrid>
        <w:gridCol w:w="2778"/>
        <w:gridCol w:w="2778"/>
      </w:tblGrid>
      <w:tr>
        <w:trPr>
          <w:cantSplit/>
          <w:tblHeader/>
        </w:trPr>
        <w:tc>
          <w:tcPr>
            <w:tcW w:type="dxa" w:w="2778"/>
            <w:vAlign w:val="center"/>
            <w:shd w:fill="EEEEEE" w:val="clear"/>
          </w:tcPr>
          <w:p>
            <w:pPr>
              <w:pStyle w:val="BookTable"/>
            </w:pPr>
            <w:bookmarkStart w:id="89" w:name="bb1c45aa962ab128f13b61d304d7099"/>
            <w:r>
              <w:rPr>
                <w:rFonts w:ascii="Noto Serif" w:hAnsi="Noto Serif" w:eastAsia="Noto Serif CJK SC" w:cs="Noto Serif"/>
                <w:color w:val="000000"/>
                <w:b w:val="1"/>
                <w:bCs w:val="1"/>
                <w:lang w:val="pt-BR" w:eastAsia="zh-CN" w:bidi="pt-BR"/>
              </w:rPr>
              <w:t>Circunstância ou orientação</w:t>
            </w:r>
          </w:p>
        </w:tc>
        <w:tc>
          <w:tcPr>
            <w:tcW w:type="dxa" w:w="2778"/>
            <w:vAlign w:val="center"/>
            <w:shd w:fill="EEEEEE" w:val="clea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b w:val="1"/>
                <w:bCs w:val="1"/>
                <w:lang w:val="pt-BR" w:eastAsia="zh-CN" w:bidi="pt-BR"/>
              </w:rPr>
              <w:t>Consequência segundo a fonte</w:t>
            </w:r>
          </w:p>
        </w:tc>
      </w:tr>
      <w:tr>
        <w:trPr>
          <w:cantSplit/>
        </w:trPr>
        <w:tc>
          <w:tcPr>
            <w:tcW w:type="dxa" w:w="2778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No interior de templos, mosteiros e santuários.</w:t>
            </w:r>
          </w:p>
        </w:tc>
        <w:tc>
          <w:tcPr>
            <w:tcW w:type="dxa" w:w="2778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A transgressão reduz muito os benefícios destinados à pessoa e sua longevidade.</w:t>
            </w:r>
          </w:p>
        </w:tc>
      </w:tr>
      <w:tr>
        <w:trPr>
          <w:cantSplit/>
        </w:trPr>
        <w:tc>
          <w:tcPr>
            <w:tcW w:type="dxa" w:w="2778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Ao lado de poços, fogões ou latrinas; junto a jardins abandonados, túmulos, cadáveres ou caixões.</w:t>
            </w:r>
          </w:p>
        </w:tc>
        <w:tc>
          <w:tcPr>
            <w:tcW w:type="dxa" w:w="2778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A transgressão faz com que um espírito maligno entre no feto, e também leva ao nascimento de seres monstruosos e à morte de quem transgride.</w:t>
            </w:r>
            <w:bookmarkEnd w:id="89"/>
          </w:p>
        </w:tc>
      </w:tr>
    </w:tbl>
    <w:p>
      <w:pPr>
        <w:pStyle w:val="Heading3"/>
        <w:pageBreakBefore w:val="0"/>
      </w:pPr>
      <w:bookmarkStart w:id="91" w:name="b18deede4704251516fe8adad6ec51a"/>
      <w:bookmarkStart w:id="90" w:name="b35cdc36b819c6564fd4c4335c1c726"/>
      <w:bookmarkEnd w:id="90"/>
      <w:r>
        <w:rPr>
          <w:rFonts w:ascii="Noto Serif" w:hAnsi="Noto Serif" w:eastAsia="Noto Serif CJK SC" w:cs="Noto Serif"/>
          <w:color w:val="000000"/>
          <w:lang w:val="pt-BR" w:eastAsia="zh-CN" w:bidi="pt-BR"/>
        </w:rPr>
        <w:t>Interdições da pessoa: observar rigorosamente a abstinência</w:t>
      </w:r>
      <w:bookmarkEnd w:id="91"/>
    </w:p>
    <w:tbl>
      <w:tblPr>
        <w:tblW w:type="dxa" w:w="5556"/>
        <w:jc w:val="center"/>
        <w:tblLayout w:type="fixed"/>
        <w:tblLook w:firstColumn="1" w:firstRow="1" w:lastColumn="0" w:lastRow="0" w:noHBand="0" w:noVBand="1" w:val="04A0"/>
        <w:tblBorders>
          <w:top w:val="single" w:sz="4" w:color="777777"/>
          <w:left w:val="single" w:sz="4" w:color="777777"/>
          <w:bottom w:val="single" w:sz="4" w:color="777777"/>
          <w:right w:val="single" w:sz="4" w:color="777777"/>
          <w:insideH w:val="single" w:sz="4" w:color="777777"/>
          <w:insideV w:val="single" w:sz="4" w:color="777777"/>
        </w:tblBorders>
        <w:tblCellMar>
          <w:top w:w="65" w:type="dxa"/>
          <w:left w:w="75" w:type="dxa"/>
          <w:bottom w:w="65" w:type="dxa"/>
          <w:right w:w="75" w:type="dxa"/>
        </w:tblCellMar>
      </w:tblPr>
      <w:tblGrid>
        <w:gridCol w:w="2778"/>
        <w:gridCol w:w="2778"/>
      </w:tblGrid>
      <w:tr>
        <w:trPr>
          <w:cantSplit/>
          <w:tblHeader/>
        </w:trPr>
        <w:tc>
          <w:tcPr>
            <w:tcW w:type="dxa" w:w="2778"/>
            <w:vAlign w:val="center"/>
            <w:shd w:fill="EEEEEE" w:val="clear"/>
          </w:tcPr>
          <w:p>
            <w:pPr>
              <w:pStyle w:val="BookTable"/>
            </w:pPr>
            <w:bookmarkStart w:id="92" w:name="b45e5281d1c9e02a8cea326e05e4b5f"/>
            <w:r>
              <w:rPr>
                <w:rFonts w:ascii="Noto Serif" w:hAnsi="Noto Serif" w:eastAsia="Noto Serif CJK SC" w:cs="Noto Serif"/>
                <w:color w:val="000000"/>
                <w:b w:val="1"/>
                <w:bCs w:val="1"/>
                <w:lang w:val="pt-BR" w:eastAsia="zh-CN" w:bidi="pt-BR"/>
              </w:rPr>
              <w:t>Circunstância ou orientação</w:t>
            </w:r>
          </w:p>
        </w:tc>
        <w:tc>
          <w:tcPr>
            <w:tcW w:type="dxa" w:w="2778"/>
            <w:vAlign w:val="center"/>
            <w:shd w:fill="EEEEEE" w:val="clea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b w:val="1"/>
                <w:bCs w:val="1"/>
                <w:lang w:val="pt-BR" w:eastAsia="zh-CN" w:bidi="pt-BR"/>
              </w:rPr>
              <w:t>Consequência segundo a fonte</w:t>
            </w:r>
          </w:p>
        </w:tc>
      </w:tr>
      <w:tr>
        <w:trPr>
          <w:cantSplit/>
        </w:trPr>
        <w:tc>
          <w:tcPr>
            <w:tcW w:type="dxa" w:w="2778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Raiva reprimida</w:t>
            </w:r>
          </w:p>
        </w:tc>
        <w:tc>
          <w:tcPr>
            <w:tcW w:type="dxa" w:w="2778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A cólera intensa prejudica o fígado. A transgressão causa necessariamente doença.</w:t>
            </w:r>
          </w:p>
        </w:tc>
      </w:tr>
      <w:tr>
        <w:trPr>
          <w:cantSplit/>
        </w:trPr>
        <w:tc>
          <w:tcPr>
            <w:tcW w:type="dxa" w:w="2778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Viagem longa</w:t>
            </w:r>
          </w:p>
        </w:tc>
        <w:tc>
          <w:tcPr>
            <w:tcW w:type="dxa" w:w="2778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Quem tiver relações sexuais e depois percorrer cem li adoecerá; quem percorrer cem li e depois tiver relações sexuais morrerá.</w:t>
            </w:r>
          </w:p>
        </w:tc>
      </w:tr>
      <w:tr>
        <w:trPr>
          <w:cantSplit/>
        </w:trPr>
        <w:tc>
          <w:tcPr>
            <w:tcW w:type="dxa" w:w="2778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Embriaguez ou estômago muito cheio</w:t>
            </w:r>
          </w:p>
        </w:tc>
        <w:tc>
          <w:tcPr>
            <w:tcW w:type="dxa" w:w="2778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Ter relações sexuais nessas condições desorganiza os cinco órgãos internos.</w:t>
            </w:r>
          </w:p>
        </w:tc>
      </w:tr>
      <w:tr>
        <w:trPr>
          <w:cantSplit/>
        </w:trPr>
        <w:tc>
          <w:tcPr>
            <w:tcW w:type="dxa" w:w="2778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Estômago vazio</w:t>
            </w:r>
          </w:p>
        </w:tc>
        <w:tc>
          <w:tcPr>
            <w:tcW w:type="dxa" w:w="2778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A transgressão prejudica o espírito primordial.</w:t>
            </w:r>
          </w:p>
        </w:tc>
      </w:tr>
      <w:tr>
        <w:trPr>
          <w:cantSplit/>
        </w:trPr>
        <w:tc>
          <w:tcPr>
            <w:tcW w:type="dxa" w:w="2778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Após uma doença</w:t>
            </w:r>
          </w:p>
        </w:tc>
        <w:tc>
          <w:tcPr>
            <w:tcW w:type="dxa" w:w="2778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A transgressão provoca complicações e recaída.</w:t>
            </w:r>
          </w:p>
        </w:tc>
      </w:tr>
      <w:tr>
        <w:trPr>
          <w:cantSplit/>
        </w:trPr>
        <w:tc>
          <w:tcPr>
            <w:tcW w:type="dxa" w:w="2778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Durante a gravidez</w:t>
            </w:r>
          </w:p>
        </w:tc>
        <w:tc>
          <w:tcPr>
            <w:tcW w:type="dxa" w:w="2778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A transgressão prejudica o feto. Por isso, tão logo haja gravidez, deve-se dormir em camas separadas e renunciar às relações sexuais. Em primeiro lugar, isso cumpre rigorosamente os preceitos de educação pré-natal e evita a perda da gestação, assim como os males infantis chamados “veneno fetal” e “debilidade fetal”, as erupções e varíola perigosas, as afecções de “vento errante”, as convulsões e os males das gengivas. Em segundo lugar, os filhos assim gerados serão necessariamente dignos e retos, se meninos, ou castos, serenos, recatados e tranquilos, se meninas, e naturalmente não se entregarão à conduta sexual dissoluta.</w:t>
            </w:r>
            <w:bookmarkEnd w:id="92"/>
          </w:p>
        </w:tc>
      </w:tr>
    </w:tbl>
    <w:p>
      <w:pPr>
        <w:pStyle w:val="Heading3"/>
        <w:pageBreakBefore w:val="0"/>
      </w:pPr>
      <w:bookmarkStart w:id="94" w:name="bf226a166f0a32a47cfd790cac962cb"/>
      <w:bookmarkStart w:id="93" w:name="b11832b15b1e8ff74b1679179a5cbf2"/>
      <w:bookmarkEnd w:id="93"/>
      <w:r>
        <w:rPr>
          <w:rFonts w:ascii="Noto Serif" w:hAnsi="Noto Serif" w:eastAsia="Noto Serif CJK SC" w:cs="Noto Serif"/>
          <w:color w:val="000000"/>
          <w:lang w:val="pt-BR" w:eastAsia="zh-CN" w:bidi="pt-BR"/>
        </w:rPr>
        <w:t>Interdições da pessoa, continuação</w:t>
      </w:r>
      <w:bookmarkEnd w:id="94"/>
    </w:p>
    <w:tbl>
      <w:tblPr>
        <w:tblW w:type="dxa" w:w="5556"/>
        <w:jc w:val="center"/>
        <w:tblLayout w:type="fixed"/>
        <w:tblLook w:firstColumn="1" w:firstRow="1" w:lastColumn="0" w:lastRow="0" w:noHBand="0" w:noVBand="1" w:val="04A0"/>
        <w:tblBorders>
          <w:top w:val="single" w:sz="4" w:color="777777"/>
          <w:left w:val="single" w:sz="4" w:color="777777"/>
          <w:bottom w:val="single" w:sz="4" w:color="777777"/>
          <w:right w:val="single" w:sz="4" w:color="777777"/>
          <w:insideH w:val="single" w:sz="4" w:color="777777"/>
          <w:insideV w:val="single" w:sz="4" w:color="777777"/>
        </w:tblBorders>
        <w:tblCellMar>
          <w:top w:w="65" w:type="dxa"/>
          <w:left w:w="75" w:type="dxa"/>
          <w:bottom w:w="65" w:type="dxa"/>
          <w:right w:w="75" w:type="dxa"/>
        </w:tblCellMar>
      </w:tblPr>
      <w:tblGrid>
        <w:gridCol w:w="2778"/>
        <w:gridCol w:w="2778"/>
      </w:tblGrid>
      <w:tr>
        <w:trPr>
          <w:cantSplit/>
          <w:tblHeader/>
        </w:trPr>
        <w:tc>
          <w:tcPr>
            <w:tcW w:type="dxa" w:w="2778"/>
            <w:vAlign w:val="center"/>
            <w:shd w:fill="EEEEEE" w:val="clear"/>
          </w:tcPr>
          <w:p>
            <w:pPr>
              <w:pStyle w:val="BookTable"/>
            </w:pPr>
            <w:bookmarkStart w:id="95" w:name="b2c357a5402bd02ab79afc94a668027"/>
            <w:r>
              <w:rPr>
                <w:rFonts w:ascii="Noto Serif" w:hAnsi="Noto Serif" w:eastAsia="Noto Serif CJK SC" w:cs="Noto Serif"/>
                <w:color w:val="000000"/>
                <w:b w:val="1"/>
                <w:bCs w:val="1"/>
                <w:lang w:val="pt-BR" w:eastAsia="zh-CN" w:bidi="pt-BR"/>
              </w:rPr>
              <w:t>Circunstância ou orientação</w:t>
            </w:r>
          </w:p>
        </w:tc>
        <w:tc>
          <w:tcPr>
            <w:tcW w:type="dxa" w:w="2778"/>
            <w:vAlign w:val="center"/>
            <w:shd w:fill="EEEEEE" w:val="clea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b w:val="1"/>
                <w:bCs w:val="1"/>
                <w:lang w:val="pt-BR" w:eastAsia="zh-CN" w:bidi="pt-BR"/>
              </w:rPr>
              <w:t>Consequência segundo a fonte</w:t>
            </w:r>
          </w:p>
        </w:tc>
      </w:tr>
      <w:tr>
        <w:trPr>
          <w:cantSplit/>
        </w:trPr>
        <w:tc>
          <w:tcPr>
            <w:tcW w:type="dxa" w:w="2778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Após o parto</w:t>
            </w:r>
          </w:p>
        </w:tc>
        <w:tc>
          <w:tcPr>
            <w:tcW w:type="dxa" w:w="2778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Se houver transgressão nos primeiros dez e poucos dias, a mulher necessariamente morrerá; se ocorrer nos primeiros cem dias, ela necessariamente adoecerá.</w:t>
            </w:r>
          </w:p>
        </w:tc>
      </w:tr>
      <w:tr>
        <w:trPr>
          <w:cantSplit/>
        </w:trPr>
        <w:tc>
          <w:tcPr>
            <w:tcW w:type="dxa" w:w="2778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Durante a menstruação</w:t>
            </w:r>
          </w:p>
        </w:tc>
        <w:tc>
          <w:tcPr>
            <w:tcW w:type="dxa" w:w="2778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A transgressão causa a afecção chamada xuema (</w:t>
            </w:r>
            <w:r>
              <w:rPr>
                <w:rFonts w:ascii="Noto Serif CJK SC" w:hAnsi="Noto Serif CJK SC" w:eastAsia="Noto Serif CJK SC" w:cs="Noto Serif CJK SC"/>
                <w:color w:val="000000"/>
                <w:lang w:val="pt-BR" w:eastAsia="zh-CN" w:bidi="pt-BR"/>
              </w:rPr>
              <w:t xml:space="preserve">血麻证); </w:t>
            </w: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tanto o homem quanto a mulher adoecem.</w:t>
            </w:r>
          </w:p>
        </w:tc>
      </w:tr>
      <w:tr>
        <w:trPr>
          <w:cantSplit/>
        </w:trPr>
        <w:tc>
          <w:tcPr>
            <w:tcW w:type="dxa" w:w="2778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Esteira de bambu</w:t>
            </w:r>
          </w:p>
        </w:tc>
        <w:tc>
          <w:tcPr>
            <w:tcW w:type="dxa" w:w="2778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O bambu tem natureza fria e fresca; a transgressão facilita a entrada do frio no corpo.</w:t>
            </w:r>
          </w:p>
        </w:tc>
      </w:tr>
      <w:tr>
        <w:trPr>
          <w:cantSplit/>
        </w:trPr>
        <w:tc>
          <w:tcPr>
            <w:tcW w:type="dxa" w:w="2778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Cobertor fino</w:t>
            </w:r>
          </w:p>
        </w:tc>
        <w:tc>
          <w:tcPr>
            <w:tcW w:type="dxa" w:w="2778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A transgressão faz o frio penetrar nos ossos.</w:t>
            </w:r>
          </w:p>
        </w:tc>
      </w:tr>
      <w:tr>
        <w:trPr>
          <w:cantSplit/>
        </w:trPr>
        <w:tc>
          <w:tcPr>
            <w:tcW w:type="dxa" w:w="2778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Evitar as correntes de ar vindas das frestas das janelas. Observar a abstinência ao se deitar tarde da noite.</w:t>
            </w:r>
          </w:p>
        </w:tc>
        <w:tc>
          <w:tcPr>
            <w:tcW w:type="dxa" w:w="2778"/>
            <w:vAlign w:val="center"/>
          </w:tcPr>
          <w:p>
            <w:pPr>
              <w:pStyle w:val="BookTable"/>
            </w:pPr>
          </w:p>
        </w:tc>
      </w:tr>
      <w:tr>
        <w:trPr>
          <w:cantSplit/>
        </w:trPr>
        <w:tc>
          <w:tcPr>
            <w:tcW w:type="dxa" w:w="2778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Se, logo após a relação sexual, um bebê chorar ao lado, não lhe dar o peito imediatamente.</w:t>
            </w:r>
          </w:p>
        </w:tc>
        <w:tc>
          <w:tcPr>
            <w:tcW w:type="dxa" w:w="2778"/>
            <w:vAlign w:val="center"/>
          </w:tcPr>
          <w:p>
            <w:pPr>
              <w:pStyle w:val="BookTable"/>
            </w:pPr>
          </w:p>
        </w:tc>
      </w:tr>
      <w:tr>
        <w:trPr>
          <w:cantSplit/>
        </w:trPr>
        <w:tc>
          <w:tcPr>
            <w:tcW w:type="dxa" w:w="2778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Logo após a relação, não usar leque nem beber chá ou água frios: o resfriamento excessivo pode até causar morte imediata.</w:t>
            </w:r>
          </w:p>
        </w:tc>
        <w:tc>
          <w:tcPr>
            <w:tcW w:type="dxa" w:w="2778"/>
            <w:vAlign w:val="center"/>
          </w:tcPr>
          <w:p>
            <w:pPr>
              <w:pStyle w:val="BookTable"/>
            </w:pPr>
          </w:p>
        </w:tc>
      </w:tr>
      <w:tr>
        <w:trPr>
          <w:cantSplit/>
        </w:trPr>
        <w:tc>
          <w:tcPr>
            <w:tcW w:type="dxa" w:w="2778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Não ter relações duas vezes na mesma noite.</w:t>
            </w:r>
          </w:p>
        </w:tc>
        <w:tc>
          <w:tcPr>
            <w:tcW w:type="dxa" w:w="2778"/>
            <w:vAlign w:val="center"/>
          </w:tcPr>
          <w:p>
            <w:pPr>
              <w:pStyle w:val="BookTable"/>
            </w:pPr>
          </w:p>
        </w:tc>
      </w:tr>
      <w:tr>
        <w:trPr>
          <w:cantSplit/>
        </w:trPr>
        <w:tc>
          <w:tcPr>
            <w:tcW w:type="dxa" w:w="2778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Não tomar preparados afrodisíacos ou drogas nocivas.</w:t>
            </w:r>
          </w:p>
        </w:tc>
        <w:tc>
          <w:tcPr>
            <w:tcW w:type="dxa" w:w="2778"/>
            <w:vAlign w:val="center"/>
          </w:tcPr>
          <w:p>
            <w:pPr>
              <w:pStyle w:val="BookTable"/>
            </w:pPr>
          </w:p>
        </w:tc>
      </w:tr>
      <w:tr>
        <w:trPr>
          <w:cantSplit/>
        </w:trPr>
        <w:tc>
          <w:tcPr>
            <w:tcW w:type="dxa" w:w="2778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Não reter a emissão por contração.</w:t>
            </w:r>
          </w:p>
        </w:tc>
        <w:tc>
          <w:tcPr>
            <w:tcW w:type="dxa" w:w="2778"/>
            <w:vAlign w:val="center"/>
          </w:tcPr>
          <w:p>
            <w:pPr>
              <w:pStyle w:val="BookTable"/>
            </w:pPr>
          </w:p>
        </w:tc>
      </w:tr>
      <w:tr>
        <w:trPr>
          <w:cantSplit/>
        </w:trPr>
        <w:tc>
          <w:tcPr>
            <w:tcW w:type="dxa" w:w="2778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Doença; feridas; erupção de varíola</w:t>
            </w:r>
          </w:p>
        </w:tc>
        <w:tc>
          <w:tcPr>
            <w:tcW w:type="dxa" w:w="2778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Enquanto não houver recuperação completa, não se deve transgredir em hipótese alguma; em geral, a transgressão causa necessariamente a morte.</w:t>
            </w:r>
          </w:p>
        </w:tc>
      </w:tr>
      <w:tr>
        <w:trPr>
          <w:cantSplit/>
        </w:trPr>
        <w:tc>
          <w:tcPr>
            <w:tcW w:type="dxa" w:w="2778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Doença dos olhos</w:t>
            </w:r>
          </w:p>
        </w:tc>
        <w:tc>
          <w:tcPr>
            <w:tcW w:type="dxa" w:w="2778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Antes da cura, ou logo depois dela, a transgressão causa necessariamente cegueira.</w:t>
            </w:r>
          </w:p>
        </w:tc>
      </w:tr>
      <w:tr>
        <w:trPr>
          <w:cantSplit/>
        </w:trPr>
        <w:tc>
          <w:tcPr>
            <w:tcW w:type="dxa" w:w="2778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Síndrome de esgotamento por deficiência</w:t>
            </w:r>
          </w:p>
        </w:tc>
        <w:tc>
          <w:tcPr>
            <w:tcW w:type="dxa" w:w="2778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Mesmo depois de recuperar a saúde e o vigor, é necessário manter a abstinência por um ano. Se a pessoa transgredir por achar que já se recuperou, em geral morrerá.</w:t>
            </w:r>
          </w:p>
        </w:tc>
      </w:tr>
      <w:tr>
        <w:trPr>
          <w:cantSplit/>
        </w:trPr>
        <w:tc>
          <w:tcPr>
            <w:tcW w:type="dxa" w:w="2778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Lesões de tendões e ossos</w:t>
            </w:r>
          </w:p>
        </w:tc>
        <w:tc>
          <w:tcPr>
            <w:tcW w:type="dxa" w:w="2778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Mesmo após a recuperação, é necessário manter a abstinência por cento e setenta ou cento e oitenta dias. Se não tiverem passado cem dias, a transgressão causa necessariamente a morte; mesmo passado esse prazo, causa necessariamente incapacidade física.</w:t>
            </w:r>
          </w:p>
        </w:tc>
      </w:tr>
      <w:tr>
        <w:trPr>
          <w:cantSplit/>
        </w:trPr>
        <w:tc>
          <w:tcPr>
            <w:tcW w:type="dxa" w:w="2778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Excesso de esforço; excesso de preocupações; calor excessivo; susto ou medo excessivos; tristeza excessiva</w:t>
            </w:r>
          </w:p>
        </w:tc>
        <w:tc>
          <w:tcPr>
            <w:tcW w:type="dxa" w:w="2778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SC" w:cs="Noto Serif"/>
                <w:color w:val="000000"/>
                <w:lang w:val="pt-BR" w:eastAsia="zh-CN" w:bidi="pt-BR"/>
              </w:rPr>
              <w:t>Em todas essas situações, deve-se observar a abstinência. A transgressão causa doença persistente nos casos menos graves e morte imediata nos mais graves.</w:t>
            </w:r>
            <w:bookmarkEnd w:id="95"/>
          </w:p>
        </w:tc>
      </w:tr>
    </w:tbl>
    <w:p>
      <w:pPr>
        <w:pStyle w:val="BookFirst"/>
      </w:pPr>
      <w:bookmarkStart w:id="96" w:name="b45e22924c28f05b1edee031cb14edf"/>
      <w:r>
        <w:rPr>
          <w:rFonts w:ascii="Noto Serif" w:hAnsi="Noto Serif" w:eastAsia="Noto Serif CJK SC" w:cs="Noto Serif"/>
          <w:color w:val="000000"/>
          <w:lang w:val="pt-BR" w:eastAsia="zh-CN" w:bidi="pt-BR"/>
        </w:rPr>
        <w:t>Leitura das células compartilhadas: As linhas de recomendações isoladas ocupam toda a largura; não recebem uma consequência adicional por estarem ao lado de um espaço vazio.</w:t>
      </w:r>
      <w:bookmarkEnd w:id="96"/>
    </w:p>
    <w:p>
      <w:pPr>
        <w:pStyle w:val="Heading3"/>
        <w:pageBreakBefore w:val="0"/>
      </w:pPr>
      <w:bookmarkStart w:id="98" w:name="b9951b7df533cd6b2ece169d66a87ef"/>
      <w:bookmarkStart w:id="97" w:name="b8252fd6d275c4393ca5c6c0a6fae5b"/>
      <w:bookmarkEnd w:id="97"/>
      <w:r>
        <w:rPr>
          <w:rFonts w:ascii="Noto Serif" w:hAnsi="Noto Serif" w:eastAsia="Noto Serif CJK SC" w:cs="Noto Serif"/>
          <w:color w:val="000000"/>
          <w:lang w:val="pt-BR" w:eastAsia="zh-CN" w:bidi="pt-BR"/>
        </w:rPr>
        <w:t>Exortação final da fonte</w:t>
      </w:r>
      <w:bookmarkEnd w:id="98"/>
    </w:p>
    <w:p>
      <w:pPr>
        <w:pStyle w:val="BookFirst"/>
      </w:pPr>
      <w:bookmarkStart w:id="99" w:name="b86cea9036057aec8ac00448a64ffd5"/>
      <w:r>
        <w:rPr>
          <w:rFonts w:ascii="Noto Serif" w:hAnsi="Noto Serif" w:eastAsia="Noto Serif CJK SC" w:cs="Noto Serif"/>
          <w:color w:val="000000"/>
          <w:lang w:val="pt-BR" w:eastAsia="zh-CN" w:bidi="pt-BR"/>
        </w:rPr>
        <w:t>Além dos períodos mensais de abstinência e das interdições do Céu, da pessoa e das demais categorias acima, restam, em cada mês, seis ou sete dias sem nenhuma dessas interdições. Para quem procura preservar o corpo, as relações sexuais deveriam limitar-se, no máximo, a três ou quatro vezes por mês; assim, afirma o texto, as doenças não atacariam e o vigor físico e mental se manteria firme. A obra acrescenta que quem modera os desejos necessariamente terá mais filhos homens e descendentes de constituição robusta.</w:t>
      </w:r>
      <w:bookmarkEnd w:id="99"/>
    </w:p>
    <w:p>
      <w:pPr/>
      <w:bookmarkStart w:id="100" w:name="bff988e5cb74989a8e8b27303443c5e"/>
      <w:r>
        <w:rPr>
          <w:rFonts w:ascii="Noto Serif" w:hAnsi="Noto Serif" w:eastAsia="Noto Serif CJK SC" w:cs="Noto Serif"/>
          <w:color w:val="000000"/>
          <w:lang w:val="pt-BR" w:eastAsia="zh-CN" w:bidi="pt-BR"/>
        </w:rPr>
        <w:t>Os jovens recém-casados, prossegue a exortação, muitas vezes prejudicam o corpo ao se entregarem aos desejos e esgotam em pouco tempo o que poderia sustentar uma união de cem anos. Isso é profundamente lamentável! Por que não observar com rigor os períodos de abstinência, preservar o corpo e firmar a própria vida, para depois envelhecer juntos com respeito mútuo, celebrar uma descendência numerosa e desfrutar plenamente da alegria familiar?</w:t>
      </w:r>
      <w:bookmarkEnd w:id="100"/>
    </w:p>
    <w:sectPr w:rsidR="00FC693F" w:rsidRPr="0006063C" w:rsidSect="00034616">
      <w:headerReference w:type="default" r:id="rId9"/>
      <w:footerReference w:type="default" r:id="rId10"/>
      <w:pgSz w:w="7937" w:h="11906"/>
      <w:pgMar w:top="1134" w:right="964" w:bottom="1191" w:left="1247" w:header="510" w:footer="567" w:gutter="170"/>
      <w:cols w:space="720"/>
      <w:titlePg/>
      <w:docGrid w:linePitch="310" w:type="default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Noto Serif">
    <w:embedRegular r:id="rIdEmbed1" w:fontKey="{87507F7A-6664-555A-BAF6-E779837A4820}" w:subsetted="false"/>
    <w:embedBold r:id="rIdEmbed2" w:fontKey="{8973BBA9-2D7A-569B-9D32-DD6F447B84CA}" w:subsetted="false"/>
    <w:embedItalic r:id="rIdEmbed3" w:fontKey="{5A4BA43F-897C-5E8C-87F4-EEE877A6E128}" w:subsetted="false"/>
    <w:embedBoldItalic r:id="rIdEmbed4" w:fontKey="{CA56F28F-D9EC-5411-9292-97BF4C0E3D46}" w:subsetted="false"/>
  </w:font>
  <w:font w:name="Noto Serif CJK SC">
    <w:embedRegular r:id="rIdEmbed5" w:fontKey="{5B2A5A97-7FCF-5C1F-8540-DABFFBBEE21E}" w:subsetted="false"/>
    <w:embedBold r:id="rIdEmbed6" w:fontKey="{CDE06BFD-3AF7-5173-8432-6B26AC7F775F}" w:subsetted="false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BookSmall"/>
    </w:pPr>
    <w:r>
      <w:fldChar w:fldCharType="begin"/>
    </w:r>
    <w:r>
      <w:instrText xml:space="preserve"> PAGE </w:instrText>
    </w:r>
    <w:r>
      <w:fldChar w:fldCharType="separate"/>
    </w:r>
    <w:r>
      <w:rPr>
        <w:rFonts w:ascii="Noto Serif" w:hAnsi="Noto Serif" w:eastAsia="Noto Serif CJK SC" w:cs="Noto Serif"/>
        <w:color w:val="000000"/>
        <w:sz w:val="17"/>
        <w:szCs w:val="17"/>
        <w:lang w:val="pt-BR" w:eastAsia="zh-CN" w:bidi="pt-BR"/>
        <w:rStyle w:val="GeneratedPageReference"/>
      </w:rPr>
      <w:t>1</w:t>
    </w:r>
    <w: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BookSmall"/>
    </w:pPr>
    <w:r>
      <w:rPr>
        <w:rFonts w:ascii="Noto Serif" w:hAnsi="Noto Serif" w:eastAsia="Noto Serif CJK SC" w:cs="Noto Serif"/>
        <w:color w:val="000000"/>
        <w:sz w:val="17"/>
        <w:szCs w:val="17"/>
        <w:lang w:val="pt-BR" w:eastAsia="zh-CN" w:bidi="pt-BR"/>
      </w:rPr>
      <w:t>Suplemento de referência independente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1000">
    <w:multiLevelType w:val="singleLevel"/>
    <w:lvl w:ilvl="0">
      <w:start w:val="1"/>
      <w:numFmt w:val="bullet"/>
      <w:lvlText w:val="•"/>
      <w:lvlJc w:val="left"/>
      <w:pPr>
        <w:tabs>
          <w:tab w:val="num" w:pos="340"/>
        </w:tabs>
        <w:ind w:left="340" w:hanging="250"/>
      </w:pPr>
    </w:lvl>
  </w:abstractNum>
  <w:num w:numId="1001">
    <w:abstractNumId w:val="1000"/>
  </w:num>
  <w:abstractNum w:abstractNumId="1002">
    <w:multiLevelType w:val="singleLevel"/>
    <w:lvl w:ilvl="0">
      <w:start w:val="1"/>
      <w:numFmt w:val="bullet"/>
      <w:lvlText w:val="•"/>
      <w:lvlJc w:val="left"/>
      <w:pPr>
        <w:tabs>
          <w:tab w:val="num" w:pos="340"/>
        </w:tabs>
        <w:ind w:left="340" w:hanging="250"/>
      </w:pPr>
    </w:lvl>
  </w:abstractNum>
  <w:num w:numId="1003">
    <w:abstractNumId w:val="1002"/>
  </w:num>
  <w:abstractNum w:abstractNumId="1004">
    <w:multiLevelType w:val="singleLevel"/>
    <w:lvl w:ilvl="0">
      <w:start w:val="1"/>
      <w:numFmt w:val="bullet"/>
      <w:lvlText w:val="•"/>
      <w:lvlJc w:val="left"/>
      <w:pPr>
        <w:tabs>
          <w:tab w:val="num" w:pos="340"/>
        </w:tabs>
        <w:ind w:left="340" w:hanging="250"/>
      </w:pPr>
    </w:lvl>
  </w:abstractNum>
  <w:num w:numId="1005">
    <w:abstractNumId w:val="100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doNotExpandShiftReturn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mirrorMargins/>
  <w:updateFields w:val="true"/>
  <w:embedTrueTypeFonts/>
  <w:saveSubsetFonts w:val="0"/>
  <w:autoHyphenation w:val="1"/>
  <w:consecutiveHyphenLimit w:val="2"/>
  <w:hyphenationZone w:val="18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Noto Serif" w:hAnsi="Noto Serif" w:eastAsia="Noto Serif CJK SC" w:cs="Noto Serif"/>
        <w:sz w:val="22"/>
        <w:szCs w:val="22"/>
        <w:lang w:val="pt-BR" w:eastAsia="zh-CN" w:bidi="pt-BR"/>
        <w:color w:val="000000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eepNext w:val="0"/>
      <w:keepLines w:val="0"/>
      <w:widowControl/>
      <w:spacing w:before="0" w:after="0" w:line="310" w:lineRule="atLeast"/>
      <w:ind w:firstLine="330"/>
      <w:jc w:val="both"/>
      <w:contextualSpacing w:val="0"/>
      <w:suppressAutoHyphens w:val="0"/>
      <w:kinsoku w:val="1"/>
      <w:wordWrap w:val="0"/>
      <w:overflowPunct w:val="0"/>
    </w:pPr>
    <w:rPr>
      <w:rFonts w:ascii="Noto Serif" w:hAnsi="Noto Serif" w:eastAsia="Noto Serif CJK SC" w:cs="Noto Serif"/>
      <w:color w:val="000000"/>
      <w:sz w:val="22"/>
      <w:szCs w:val="22"/>
      <w:b w:val="0"/>
      <w:bCs w:val="0"/>
      <w:lang w:val="pt-BR" w:eastAsia="zh-CN" w:bidi="pt-B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 w:val="0"/>
      <w:widowControl/>
      <w:spacing w:before="600" w:after="480" w:line="660" w:lineRule="atLeast"/>
      <w:ind w:firstLine="0"/>
      <w:jc w:val="center"/>
      <w:outlineLvl w:val="0"/>
      <w:contextualSpacing w:val="0"/>
      <w:suppressAutoHyphens w:val="0"/>
      <w:kinsoku w:val="1"/>
      <w:wordWrap w:val="0"/>
      <w:overflowPunct w:val="0"/>
    </w:pPr>
    <w:rPr>
      <w:rFonts w:ascii="Noto Serif" w:hAnsi="Noto Serif" w:eastAsia="Noto Serif CJK SC" w:cs="Noto Serif"/>
      <w:b w:val="1"/>
      <w:bCs w:val="1"/>
      <w:color w:val="000000"/>
      <w:sz w:val="46"/>
      <w:szCs w:val="46"/>
      <w:lang w:val="pt-BR" w:eastAsia="zh-CN" w:bidi="pt-B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 w:val="0"/>
      <w:widowControl/>
      <w:spacing w:before="520" w:after="420" w:line="540" w:lineRule="atLeast"/>
      <w:ind w:firstLine="0"/>
      <w:jc w:val="center"/>
      <w:outlineLvl w:val="1"/>
      <w:contextualSpacing w:val="0"/>
      <w:suppressAutoHyphens w:val="0"/>
      <w:kinsoku w:val="1"/>
      <w:wordWrap w:val="0"/>
      <w:overflowPunct w:val="0"/>
    </w:pPr>
    <w:rPr>
      <w:rFonts w:ascii="Noto Serif" w:hAnsi="Noto Serif" w:eastAsia="Noto Serif CJK SC" w:cs="Noto Serif"/>
      <w:b w:val="1"/>
      <w:bCs w:val="1"/>
      <w:color w:val="000000"/>
      <w:sz w:val="36"/>
      <w:szCs w:val="36"/>
      <w:lang w:val="pt-BR" w:eastAsia="zh-CN" w:bidi="pt-BR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 w:val="0"/>
      <w:widowControl/>
      <w:spacing w:before="300" w:after="140" w:line="330" w:lineRule="atLeast"/>
      <w:ind w:firstLine="0"/>
      <w:jc w:val="left"/>
      <w:outlineLvl w:val="2"/>
      <w:contextualSpacing w:val="0"/>
      <w:suppressAutoHyphens w:val="0"/>
      <w:kinsoku w:val="1"/>
      <w:wordWrap w:val="0"/>
      <w:overflowPunct w:val="0"/>
    </w:pPr>
    <w:rPr>
      <w:rFonts w:ascii="Noto Serif" w:hAnsi="Noto Serif" w:eastAsia="Noto Serif CJK SC" w:cs="Noto Serif"/>
      <w:b w:val="1"/>
      <w:bCs w:val="1"/>
      <w:color w:val="000000"/>
      <w:sz w:val="24"/>
      <w:szCs w:val="24"/>
      <w:lang w:val="pt-BR" w:eastAsia="zh-CN" w:bidi="pt-BR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 w:val="0"/>
      <w:widowControl/>
      <w:spacing w:before="220" w:after="100" w:line="310" w:lineRule="atLeast"/>
      <w:ind w:firstLine="0"/>
      <w:jc w:val="left"/>
      <w:outlineLvl w:val="3"/>
      <w:contextualSpacing w:val="0"/>
      <w:suppressAutoHyphens w:val="0"/>
      <w:kinsoku w:val="1"/>
      <w:wordWrap w:val="0"/>
      <w:overflowPunct w:val="0"/>
    </w:pPr>
    <w:rPr>
      <w:rFonts w:ascii="Noto Serif" w:hAnsi="Noto Serif" w:eastAsia="Noto Serif CJK SC" w:cs="Noto Serif"/>
      <w:b w:val="1"/>
      <w:bCs w:val="1"/>
      <w:i/>
      <w:iCs/>
      <w:color w:val="000000"/>
      <w:sz w:val="22"/>
      <w:szCs w:val="22"/>
      <w:lang w:val="pt-BR" w:eastAsia="zh-CN" w:bidi="pt-BR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000000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000000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000000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 w:val="0"/>
      <w:keepLines w:val="0"/>
      <w:widowControl/>
      <w:spacing w:after="520" w:line="760" w:lineRule="atLeast" w:before="1400"/>
      <w:ind w:firstLine="0"/>
      <w:contextualSpacing w:val="0"/>
      <w:jc w:val="center"/>
      <w:suppressAutoHyphens w:val="0"/>
      <w:kinsoku w:val="1"/>
      <w:wordWrap w:val="0"/>
      <w:overflowPunct w:val="0"/>
    </w:pPr>
    <w:rPr>
      <w:rFonts w:ascii="Noto Serif" w:hAnsi="Noto Serif" w:eastAsia="Noto Serif CJK SC" w:cs="Noto Serif"/>
      <w:color w:val="000000"/>
      <w:kern w:val="28"/>
      <w:sz w:val="54"/>
      <w:szCs w:val="54"/>
      <w:b w:val="0"/>
      <w:bCs w:val="0"/>
      <w:lang w:val="pt-BR" w:eastAsia="zh-CN" w:bidi="pt-BR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000000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000000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  <w:color w:val="000000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  <w:color w:val="00000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000000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00000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00000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00000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000000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00000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00000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00000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00000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000000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000000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  <w:color w:val="00000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BookFirst">
    <w:name w:val="Book First"/>
    <w:basedOn w:val="Normal"/>
    <w:pPr>
      <w:keepNext w:val="0"/>
      <w:keepLines w:val="0"/>
      <w:widowControl/>
      <w:spacing w:before="0" w:after="0" w:line="310" w:lineRule="atLeast"/>
      <w:ind w:firstLine="0"/>
      <w:jc w:val="both"/>
      <w:contextualSpacing w:val="0"/>
      <w:suppressAutoHyphens w:val="0"/>
      <w:kinsoku w:val="1"/>
      <w:wordWrap w:val="0"/>
      <w:overflowPunct w:val="0"/>
    </w:pPr>
    <w:rPr>
      <w:rFonts w:ascii="Noto Serif" w:hAnsi="Noto Serif" w:eastAsia="Noto Serif CJK SC" w:cs="Noto Serif"/>
      <w:color w:val="000000"/>
      <w:sz w:val="22"/>
      <w:szCs w:val="22"/>
      <w:b w:val="0"/>
      <w:bCs w:val="0"/>
      <w:lang w:val="pt-BR" w:eastAsia="zh-CN" w:bidi="pt-BR"/>
    </w:rPr>
  </w:style>
  <w:style w:type="paragraph" w:customStyle="1" w:styleId="BookAuthor">
    <w:name w:val="Book Author"/>
    <w:basedOn w:val="Normal"/>
    <w:pPr>
      <w:keepNext w:val="0"/>
      <w:keepLines w:val="0"/>
      <w:widowControl/>
      <w:spacing w:before="320" w:after="0" w:line="400" w:lineRule="atLeast"/>
      <w:ind w:firstLine="0"/>
      <w:jc w:val="center"/>
      <w:contextualSpacing w:val="0"/>
      <w:suppressAutoHyphens w:val="0"/>
      <w:kinsoku w:val="1"/>
      <w:wordWrap w:val="0"/>
      <w:overflowPunct w:val="0"/>
    </w:pPr>
    <w:rPr>
      <w:rFonts w:ascii="Noto Serif" w:hAnsi="Noto Serif" w:eastAsia="Noto Serif CJK SC" w:cs="Noto Serif"/>
      <w:color w:val="000000"/>
      <w:sz w:val="26"/>
      <w:szCs w:val="26"/>
      <w:b w:val="0"/>
      <w:bCs w:val="0"/>
      <w:lang w:val="pt-BR" w:eastAsia="zh-CN" w:bidi="pt-BR"/>
    </w:rPr>
  </w:style>
  <w:style w:type="paragraph" w:customStyle="1" w:styleId="BookSourceTitle">
    <w:name w:val="Book Source Title"/>
    <w:basedOn w:val="Normal"/>
    <w:pPr>
      <w:keepNext/>
      <w:keepLines w:val="0"/>
      <w:widowControl/>
      <w:spacing w:before="300" w:after="400" w:line="620" w:lineRule="atLeast"/>
      <w:ind w:firstLine="0"/>
      <w:jc w:val="center"/>
      <w:contextualSpacing w:val="0"/>
      <w:suppressAutoHyphens w:val="0"/>
      <w:kinsoku w:val="1"/>
      <w:wordWrap w:val="0"/>
      <w:overflowPunct w:val="0"/>
      <w:outlineLvl w:val="9"/>
    </w:pPr>
    <w:rPr>
      <w:rFonts w:ascii="Noto Serif" w:hAnsi="Noto Serif" w:eastAsia="Noto Serif CJK SC" w:cs="Noto Serif"/>
      <w:color w:val="000000"/>
      <w:sz w:val="44"/>
      <w:szCs w:val="44"/>
      <w:b w:val="1"/>
      <w:bCs w:val="1"/>
      <w:lang w:val="pt-BR" w:eastAsia="zh-CN" w:bidi="pt-BR"/>
    </w:rPr>
  </w:style>
  <w:style w:type="paragraph" w:customStyle="1" w:styleId="BookSubtitle">
    <w:name w:val="Book Subtitle"/>
    <w:basedOn w:val="Normal"/>
    <w:pPr>
      <w:keepNext/>
      <w:keepLines w:val="0"/>
      <w:widowControl/>
      <w:spacing w:before="60" w:after="240" w:line="420" w:lineRule="atLeast"/>
      <w:ind w:firstLine="0"/>
      <w:jc w:val="center"/>
      <w:contextualSpacing w:val="0"/>
      <w:suppressAutoHyphens w:val="0"/>
      <w:kinsoku w:val="1"/>
      <w:wordWrap w:val="0"/>
      <w:overflowPunct w:val="0"/>
      <w:outlineLvl w:val="9"/>
    </w:pPr>
    <w:rPr>
      <w:rFonts w:ascii="Noto Serif" w:hAnsi="Noto Serif" w:eastAsia="Noto Serif CJK SC" w:cs="Noto Serif"/>
      <w:color w:val="000000"/>
      <w:sz w:val="26"/>
      <w:szCs w:val="26"/>
      <w:b w:val="0"/>
      <w:bCs w:val="0"/>
      <w:lang w:val="pt-BR" w:eastAsia="zh-CN" w:bidi="pt-BR"/>
    </w:rPr>
  </w:style>
  <w:style w:type="paragraph" w:customStyle="1" w:styleId="BookContentsHeading">
    <w:name w:val="Book Contents Heading"/>
    <w:basedOn w:val="Normal"/>
    <w:pPr>
      <w:keepNext/>
      <w:keepLines w:val="0"/>
      <w:widowControl/>
      <w:spacing w:before="400" w:after="400" w:line="560" w:lineRule="atLeast"/>
      <w:ind w:firstLine="0"/>
      <w:jc w:val="center"/>
      <w:contextualSpacing w:val="0"/>
      <w:suppressAutoHyphens w:val="0"/>
      <w:kinsoku w:val="1"/>
      <w:wordWrap w:val="0"/>
      <w:overflowPunct w:val="0"/>
      <w:outlineLvl w:val="9"/>
    </w:pPr>
    <w:rPr>
      <w:rFonts w:ascii="Noto Serif" w:hAnsi="Noto Serif" w:eastAsia="Noto Serif CJK SC" w:cs="Noto Serif"/>
      <w:color w:val="000000"/>
      <w:sz w:val="36"/>
      <w:szCs w:val="36"/>
      <w:b w:val="1"/>
      <w:bCs w:val="1"/>
      <w:lang w:val="pt-BR" w:eastAsia="zh-CN" w:bidi="pt-BR"/>
    </w:rPr>
  </w:style>
  <w:style w:type="paragraph" w:customStyle="1" w:styleId="TOC1">
    <w:name w:val="TOC 1"/>
    <w:basedOn w:val="Normal"/>
    <w:pPr>
      <w:keepNext w:val="0"/>
      <w:keepLines/>
      <w:widowControl/>
      <w:spacing w:before="100" w:after="100" w:line="300" w:lineRule="atLeast"/>
      <w:ind w:firstLine="0" w:left="0" w:right="0"/>
      <w:jc w:val="left"/>
      <w:contextualSpacing w:val="0"/>
      <w:suppressAutoHyphens w:val="0"/>
      <w:kinsoku w:val="1"/>
      <w:wordWrap w:val="0"/>
      <w:overflowPunct w:val="0"/>
    </w:pPr>
    <w:rPr>
      <w:rFonts w:ascii="Noto Serif" w:hAnsi="Noto Serif" w:eastAsia="Noto Serif CJK SC" w:cs="Noto Serif"/>
      <w:color w:val="000000"/>
      <w:sz w:val="21"/>
      <w:szCs w:val="21"/>
      <w:b w:val="1"/>
      <w:bCs w:val="1"/>
      <w:lang w:val="pt-BR" w:eastAsia="zh-CN" w:bidi="pt-BR"/>
    </w:rPr>
  </w:style>
  <w:style w:type="paragraph" w:customStyle="1" w:styleId="TOC2">
    <w:name w:val="TOC 2"/>
    <w:basedOn w:val="Normal"/>
    <w:pPr>
      <w:keepNext w:val="0"/>
      <w:keepLines/>
      <w:widowControl/>
      <w:spacing w:before="0" w:after="100" w:line="300" w:lineRule="atLeast"/>
      <w:ind w:firstLine="0" w:left="200" w:right="0"/>
      <w:jc w:val="left"/>
      <w:contextualSpacing w:val="0"/>
      <w:suppressAutoHyphens w:val="0"/>
      <w:kinsoku w:val="1"/>
      <w:wordWrap w:val="0"/>
      <w:overflowPunct w:val="0"/>
    </w:pPr>
    <w:rPr>
      <w:rFonts w:ascii="Noto Serif" w:hAnsi="Noto Serif" w:eastAsia="Noto Serif CJK SC" w:cs="Noto Serif"/>
      <w:color w:val="000000"/>
      <w:sz w:val="21"/>
      <w:szCs w:val="21"/>
      <w:b w:val="0"/>
      <w:bCs w:val="0"/>
      <w:lang w:val="pt-BR" w:eastAsia="zh-CN" w:bidi="pt-BR"/>
    </w:rPr>
  </w:style>
  <w:style w:type="paragraph" w:customStyle="1" w:styleId="BookSourceContents">
    <w:name w:val="Book Source Contents"/>
    <w:basedOn w:val="Normal"/>
    <w:pPr>
      <w:keepNext w:val="0"/>
      <w:keepLines/>
      <w:widowControl/>
      <w:spacing w:before="0" w:after="120" w:line="310" w:lineRule="atLeast"/>
      <w:ind w:firstLine="0"/>
      <w:jc w:val="left"/>
      <w:contextualSpacing w:val="0"/>
      <w:suppressAutoHyphens w:val="0"/>
      <w:kinsoku w:val="1"/>
      <w:wordWrap w:val="0"/>
      <w:overflowPunct w:val="0"/>
    </w:pPr>
    <w:rPr>
      <w:rFonts w:ascii="Noto Serif" w:hAnsi="Noto Serif" w:eastAsia="Noto Serif CJK SC" w:cs="Noto Serif"/>
      <w:color w:val="000000"/>
      <w:sz w:val="21"/>
      <w:szCs w:val="21"/>
      <w:b w:val="0"/>
      <w:bCs w:val="0"/>
      <w:lang w:val="pt-BR" w:eastAsia="zh-CN" w:bidi="pt-BR"/>
    </w:rPr>
  </w:style>
  <w:style w:type="paragraph" w:customStyle="1" w:styleId="BookQuote">
    <w:name w:val="Book Quote"/>
    <w:basedOn w:val="Normal"/>
    <w:pPr>
      <w:keepNext w:val="0"/>
      <w:keepLines w:val="0"/>
      <w:widowControl/>
      <w:spacing w:before="100" w:after="100" w:line="310" w:lineRule="atLeast"/>
      <w:ind w:firstLine="0" w:left="280" w:right="280"/>
      <w:jc w:val="left"/>
      <w:contextualSpacing w:val="0"/>
      <w:suppressAutoHyphens w:val="0"/>
      <w:kinsoku w:val="1"/>
      <w:wordWrap w:val="0"/>
      <w:overflowPunct w:val="0"/>
    </w:pPr>
    <w:rPr>
      <w:rFonts w:ascii="Noto Serif" w:hAnsi="Noto Serif" w:eastAsia="Noto Serif CJK SC" w:cs="Noto Serif"/>
      <w:color w:val="000000"/>
      <w:sz w:val="22"/>
      <w:szCs w:val="22"/>
      <w:b w:val="0"/>
      <w:bCs w:val="0"/>
      <w:lang w:val="pt-BR" w:eastAsia="zh-CN" w:bidi="pt-BR"/>
    </w:rPr>
  </w:style>
  <w:style w:type="paragraph" w:customStyle="1" w:styleId="BookNote">
    <w:name w:val="Book Note"/>
    <w:basedOn w:val="Normal"/>
    <w:pPr>
      <w:keepNext w:val="0"/>
      <w:keepLines w:val="0"/>
      <w:widowControl/>
      <w:spacing w:before="0" w:after="140" w:line="280" w:lineRule="atLeast"/>
      <w:ind w:firstLine="0"/>
      <w:jc w:val="left"/>
      <w:contextualSpacing w:val="0"/>
      <w:suppressAutoHyphens w:val="0"/>
      <w:kinsoku w:val="1"/>
      <w:wordWrap w:val="0"/>
      <w:overflowPunct w:val="0"/>
    </w:pPr>
    <w:rPr>
      <w:rFonts w:ascii="Noto Serif" w:hAnsi="Noto Serif" w:eastAsia="Noto Serif CJK SC" w:cs="Noto Serif"/>
      <w:color w:val="000000"/>
      <w:sz w:val="20"/>
      <w:szCs w:val="20"/>
      <w:b w:val="0"/>
      <w:bCs w:val="0"/>
      <w:lang w:val="pt-BR" w:eastAsia="zh-CN" w:bidi="pt-BR"/>
    </w:rPr>
  </w:style>
  <w:style w:type="paragraph" w:customStyle="1" w:styleId="BookList">
    <w:name w:val="Book List"/>
    <w:basedOn w:val="Normal"/>
    <w:pPr>
      <w:keepNext w:val="0"/>
      <w:keepLines w:val="0"/>
      <w:widowControl/>
      <w:spacing w:before="0" w:after="100" w:line="310" w:lineRule="atLeast"/>
      <w:ind w:firstLine="0"/>
      <w:jc w:val="left"/>
      <w:contextualSpacing w:val="0"/>
      <w:suppressAutoHyphens w:val="0"/>
      <w:kinsoku w:val="1"/>
      <w:wordWrap w:val="0"/>
      <w:overflowPunct w:val="0"/>
    </w:pPr>
    <w:rPr>
      <w:rFonts w:ascii="Noto Serif" w:hAnsi="Noto Serif" w:eastAsia="Noto Serif CJK SC" w:cs="Noto Serif"/>
      <w:color w:val="000000"/>
      <w:sz w:val="22"/>
      <w:szCs w:val="22"/>
      <w:b w:val="0"/>
      <w:bCs w:val="0"/>
      <w:lang w:val="pt-BR" w:eastAsia="zh-CN" w:bidi="pt-BR"/>
    </w:rPr>
  </w:style>
  <w:style w:type="paragraph" w:customStyle="1" w:styleId="BookTable">
    <w:name w:val="Book Table"/>
    <w:basedOn w:val="Normal"/>
    <w:pPr>
      <w:keepNext w:val="0"/>
      <w:keepLines w:val="0"/>
      <w:widowControl/>
      <w:spacing w:before="0" w:after="60" w:line="273" w:lineRule="atLeast"/>
      <w:ind w:firstLine="0"/>
      <w:jc w:val="left"/>
      <w:contextualSpacing w:val="0"/>
      <w:suppressAutoHyphens w:val="0"/>
      <w:kinsoku w:val="1"/>
      <w:wordWrap w:val="0"/>
      <w:overflowPunct w:val="0"/>
    </w:pPr>
    <w:rPr>
      <w:rFonts w:ascii="Noto Serif" w:hAnsi="Noto Serif" w:eastAsia="Noto Serif CJK SC" w:cs="Noto Serif"/>
      <w:color w:val="000000"/>
      <w:sz w:val="19"/>
      <w:szCs w:val="19"/>
      <w:b w:val="0"/>
      <w:bCs w:val="0"/>
      <w:lang w:val="pt-BR" w:eastAsia="zh-CN" w:bidi="pt-BR"/>
    </w:rPr>
  </w:style>
  <w:style w:type="paragraph" w:customStyle="1" w:styleId="BookVerse">
    <w:name w:val="Book Verse"/>
    <w:basedOn w:val="Normal"/>
    <w:pPr>
      <w:keepNext w:val="0"/>
      <w:keepLines w:val="0"/>
      <w:widowControl/>
      <w:spacing w:before="0" w:after="40" w:line="310" w:lineRule="atLeast"/>
      <w:ind w:firstLine="0"/>
      <w:jc w:val="center"/>
      <w:contextualSpacing w:val="0"/>
      <w:suppressAutoHyphens w:val="0"/>
      <w:kinsoku w:val="1"/>
      <w:wordWrap w:val="0"/>
      <w:overflowPunct w:val="0"/>
    </w:pPr>
    <w:rPr>
      <w:rFonts w:ascii="Noto Serif" w:hAnsi="Noto Serif" w:eastAsia="Noto Serif CJK SC" w:cs="Noto Serif"/>
      <w:color w:val="000000"/>
      <w:sz w:val="22"/>
      <w:szCs w:val="22"/>
      <w:b w:val="0"/>
      <w:bCs w:val="0"/>
      <w:lang w:val="pt-BR" w:eastAsia="zh-CN" w:bidi="pt-BR"/>
    </w:rPr>
  </w:style>
  <w:style w:type="paragraph" w:customStyle="1" w:styleId="BookSmall">
    <w:name w:val="Book Small"/>
    <w:basedOn w:val="Normal"/>
    <w:pPr>
      <w:keepNext w:val="0"/>
      <w:keepLines w:val="0"/>
      <w:widowControl/>
      <w:spacing w:before="0" w:after="0" w:line="220" w:lineRule="atLeast"/>
      <w:ind w:firstLine="0"/>
      <w:jc w:val="center"/>
      <w:contextualSpacing w:val="0"/>
      <w:suppressAutoHyphens w:val="0"/>
      <w:kinsoku w:val="1"/>
      <w:wordWrap w:val="0"/>
      <w:overflowPunct w:val="0"/>
    </w:pPr>
    <w:rPr>
      <w:rFonts w:ascii="Noto Serif" w:hAnsi="Noto Serif" w:eastAsia="Noto Serif CJK SC" w:cs="Noto Serif"/>
      <w:color w:val="000000"/>
      <w:sz w:val="17"/>
      <w:szCs w:val="17"/>
      <w:b w:val="0"/>
      <w:bCs w:val="0"/>
      <w:lang w:val="pt-BR" w:eastAsia="zh-CN" w:bidi="pt-BR"/>
    </w:rPr>
  </w:style>
  <w:style w:type="paragraph" w:customStyle="1" w:styleId="BookBlank">
    <w:name w:val="Book Blank"/>
    <w:basedOn w:val="Normal"/>
    <w:pPr>
      <w:keepNext w:val="0"/>
      <w:keepLines w:val="0"/>
      <w:widowControl/>
      <w:spacing w:before="0" w:after="0" w:line="20" w:lineRule="atLeast"/>
      <w:ind w:firstLine="0"/>
      <w:jc w:val="left"/>
      <w:contextualSpacing w:val="0"/>
      <w:suppressAutoHyphens w:val="0"/>
      <w:kinsoku w:val="1"/>
      <w:wordWrap w:val="0"/>
      <w:overflowPunct w:val="0"/>
    </w:pPr>
    <w:rPr>
      <w:rFonts w:ascii="Noto Serif" w:hAnsi="Noto Serif" w:eastAsia="Noto Serif CJK SC" w:cs="Noto Serif"/>
      <w:color w:val="000000"/>
      <w:sz w:val="2"/>
      <w:szCs w:val="2"/>
      <w:b w:val="0"/>
      <w:bCs w:val="0"/>
      <w:lang w:val="pt-BR" w:eastAsia="zh-CN" w:bidi="pt-BR"/>
    </w:rPr>
  </w:style>
  <w:style w:type="paragraph" w:customStyle="1" w:styleId="BookPlateText">
    <w:name w:val="Book Plate Text"/>
    <w:basedOn w:val="Normal"/>
    <w:pPr>
      <w:keepNext w:val="0"/>
      <w:keepLines w:val="0"/>
      <w:widowControl/>
      <w:spacing w:before="0" w:after="100" w:line="284" w:lineRule="atLeast"/>
      <w:ind w:firstLine="0"/>
      <w:jc w:val="both"/>
      <w:contextualSpacing w:val="0"/>
      <w:suppressAutoHyphens w:val="0"/>
      <w:kinsoku w:val="1"/>
      <w:wordWrap w:val="0"/>
      <w:overflowPunct w:val="0"/>
    </w:pPr>
    <w:rPr>
      <w:rFonts w:ascii="Noto Serif" w:hAnsi="Noto Serif" w:eastAsia="Noto Serif CJK SC" w:cs="Noto Serif"/>
      <w:color w:val="000000"/>
      <w:sz w:val="20"/>
      <w:szCs w:val="20"/>
      <w:b w:val="0"/>
      <w:bCs w:val="0"/>
      <w:lang w:val="pt-BR" w:eastAsia="zh-CN" w:bidi="pt-BR"/>
    </w:rPr>
  </w:style>
  <w:style w:type="character" w:customStyle="1" w:styleId="GeneratedPageReference">
    <w:name w:val="GeneratedPageReference"/>
    <w:rPr>
      <w:color w:val="00000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xuefovip.com/pdf/%E5%AF%BF%E5%BA%B7%E5%AE%9D%E9%89%B4%EF%BC%88%E7%99%BD%E8%AF%9D%E7%89%88%EF%BC%89.pdf" TargetMode="External"/><Relationship Id="rId12" Type="http://schemas.openxmlformats.org/officeDocument/2006/relationships/hyperlink" Target="https://www.jiexieyin.cn/post/1553.html" TargetMode="External"/></Relationships>
</file>

<file path=word/_rels/fontTable.xml.rels><?xml version='1.0' encoding='UTF-8' standalone='yes'?>
<Relationships xmlns="http://schemas.openxmlformats.org/package/2006/relationships"><Relationship Id="rIdEmbed1" Type="http://schemas.openxmlformats.org/officeDocument/2006/relationships/font" Target="fonts/font1.odttf"/><Relationship Id="rIdEmbed2" Type="http://schemas.openxmlformats.org/officeDocument/2006/relationships/font" Target="fonts/font2.odttf"/><Relationship Id="rIdEmbed3" Type="http://schemas.openxmlformats.org/officeDocument/2006/relationships/font" Target="fonts/font3.odttf"/><Relationship Id="rIdEmbed4" Type="http://schemas.openxmlformats.org/officeDocument/2006/relationships/font" Target="fonts/font4.odttf"/><Relationship Id="rIdEmbed5" Type="http://schemas.openxmlformats.org/officeDocument/2006/relationships/font" Target="fonts/font5.odttf"/><Relationship Id="rIdEmbed6" Type="http://schemas.openxmlformats.org/officeDocument/2006/relationships/font" Target="fonts/font6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Suplemento de referência: períodos de abstinência para preservar a vida e interdições do Céu, da Terra e da pessoa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  <dc:language>pt-BR</dc:language>
</cp:coreProperties>
</file>